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PC190039 vom 10. Januar 2020</w:t>
      </w:r>
    </w:p>
    <w:p>
      <w:r>
        <w:t>ZH Obergericht, 2020-01-10, DE</w:t>
      </w:r>
    </w:p>
    <w:p>
      <w:r>
        <w:rPr>
          <w:b/>
        </w:rPr>
        <w:t xml:space="preserve">Quelle: </w:t>
      </w:r>
      <w:r>
        <w:t>https://mcp.opencaselaw.ch/entscheid/zh_obergericht_PC190039</w:t>
      </w:r>
    </w:p>
    <w:p>
      <w:r>
        <w:t>FR: ZH_OBERGERICHT PC190039 du 10 janvier 2020</w:t>
      </w:r>
    </w:p>
    <w:p>
      <w:r>
        <w:t>IT: ZH_OBERGERICHT PC190039 del 10 gennaio 2020</w:t>
      </w:r>
    </w:p>
    <w:p>
      <w:pPr>
        <w:pStyle w:val="Heading2"/>
      </w:pPr>
      <w:r>
        <w:t>Erwägungen</w:t>
      </w:r>
    </w:p>
    <w:p>
      <w:r>
        <w:rPr>
          <w:b/>
        </w:rPr>
        <w:t>E. 30</w:t>
      </w:r>
    </w:p>
    <w:p>
      <w:r>
        <w:t>Dezember 2019, zog der mittlerweile nicht mehr anwaltlich vertretene Beklagte die Berufung und sinngemäss auch die Beschwerde zurück (act. 15). Zuvor war sein Gesuch um eine superprovisorische Anordnung mit Verfügung vom 28. November 2019 abgewiesen worden (act. 4). Den ihm am 19. Dezember 2019 auferlegten Kostenvorschuss für das Beschwerdeverfahren hat der Beklagte nicht geleistet (act. 9). Als Folge des Rechtsmittelrückzuges ist das Beschwerdeverfahren abzuschreiben. Die Gerichtskosten des Rechtsmittelverfahrens sind ausgangsgemäss dem Beklagten aufzuerlegen (Art. 106 Abs. 1 ZPO). Die Entscheidgebühr bemisst sich nach § 12 i.V.m. § 9 Abs. 1 GebV OG (vgl. auch § 10 Abs. 1 GebV OG) und ist auf Fr. 500.– festzusetzen. Eine Parteientschädigung ist der Klägerin mangels erheblicher Umtriebe für das Rechtsmittelverfahren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