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PC190021 vom 8. August 2019</w:t>
      </w:r>
    </w:p>
    <w:p>
      <w:r>
        <w:t>ZH Obergericht, 2019-08-08, DE</w:t>
      </w:r>
    </w:p>
    <w:p>
      <w:r>
        <w:rPr>
          <w:b/>
        </w:rPr>
        <w:t xml:space="preserve">Quelle: </w:t>
      </w:r>
      <w:r>
        <w:t>https://mcp.opencaselaw.ch/entscheid/zh_obergericht_PC190021</w:t>
      </w:r>
    </w:p>
    <w:p>
      <w:r>
        <w:t>FR: ZH_OBERGERICHT PC190021 du 8 août 2019</w:t>
      </w:r>
    </w:p>
    <w:p>
      <w:r>
        <w:t>IT: ZH_OBERGERICHT PC190021 del 8 agosto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Prozessgeschichte</w:t>
      </w:r>
    </w:p>
    <w:p>
      <w:r>
        <w:rPr>
          <w:b/>
        </w:rPr>
        <w:t>E. 1.1</w:t>
      </w:r>
    </w:p>
    <w:p>
      <w:r>
        <w:t>Der Kläger und Beschwerdeführer (fortan Kläger) und B._____ (fortan Be- klagte) stehen sich seit dem 6. Dezember 2016 vor Vorinstanz in einem Schei- dungsverfahren gegenüber (Urk. 8/1). Beide Parteien stellten bereits zu Beginn des Verfahrens ein Gesuch um unentgeltliche Rechtspflege (vgl. Urk. 8/1 S. 2; Urk. 8/22 S. 5). Mit unbegründeter Verfügung vom 9. Oktober 2017 gewährte die Vorinstanz beiden Prozessparteien die unentgeltliche Rechtspflege. Dem Kläger wurde Rechtsanwalt lic. iur. X._____ und der Beklagten wurde Rechtsanwältin Dr. Y._____ als unentgeltliche Rechtsbeistände bestellt (Urk. 8/69). Mit Verfügung vom 16. April 2018 (Urk. 8/113) bzw. 12. Juli 2018 (Urk. 8/132) wurde beiden un- entgeltlichen Rechtsvertretern eine Akontozahlung aus der Gerichtskasse von je Fr. 10'000.– ausgerichtet. Mit Verfügung vom 28. November 2018 hat die Vorin- stanz dem Kläger Frist angesetzt, um dem Gericht aktuelle Belege zu seiner fi- nanziellen Leistungsfähigkeit, insbesondere zu seiner Schuldenlast, einzureichen. Gleichzeitig wurde beiden Parteien Frist angesetzt, "um ihre Bemühungen zur Mit- telbeschaffung im Zusammenhang mit ihrem Grundeigentum und weiteren Ver- mögenswerten zu belegen." (Urk. 8/161, Disp.-Ziff. 3). Am 13. Dezember 2018 (Beklagte; Urk. 8/166) bzw. 31. Dezember 2018 (Kläger; Urk. 8/172) gingen die entsprechenden Stellungnahmen ein. Am 31. Mai 2019 erliess die Vorinstanz so- dann folgende Verfügung (Urk. 8/212 = Urk. 2 S. 11):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