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PC190019 vom 25. Juni 2019</w:t>
      </w:r>
    </w:p>
    <w:p>
      <w:r>
        <w:t>ZH Obergericht, 2019-06-25, DE</w:t>
      </w:r>
    </w:p>
    <w:p>
      <w:r>
        <w:rPr>
          <w:b/>
        </w:rPr>
        <w:t xml:space="preserve">Quelle: </w:t>
      </w:r>
      <w:r>
        <w:t>https://mcp.opencaselaw.ch/entscheid/zh_obergericht_PC190019</w:t>
      </w:r>
    </w:p>
    <w:p>
      <w:r>
        <w:t>FR: ZH_OBERGERICHT PC190019 du 25 juin 2019</w:t>
      </w:r>
    </w:p>
    <w:p>
      <w:r>
        <w:t>IT: ZH_OBERGERICHT PC190019 del 25 giugno 2019</w:t>
      </w:r>
    </w:p>
    <w:p>
      <w:pPr>
        <w:pStyle w:val="Heading2"/>
      </w:pPr>
      <w:r>
        <w:t>Erwägungen</w:t>
      </w:r>
    </w:p>
    <w:p>
      <w:r>
        <w:rPr>
          <w:b/>
        </w:rPr>
        <w:t>E. 1</w:t>
      </w:r>
    </w:p>
    <w:p>
      <w:r>
        <w:t>a) Die Parteien stehen seit Ende November 2018 in einem Schei- dungsverfahren, welches vor Vorinstanz mit Urteil vom 31. Mai 2019 abgeschlos- sen wurde, indem die Ehe der Parteien geschieden und deren Scheidungskon- vention genehmigt wurde (Urk. 5/22). Das Urteil ist noch nicht rechtskräftig, da es dem Gesuchsteller und Beschwerdeführer (fortan Gesuchsteller) bislang noch nicht zugestellt werden konnte und ihm eine zweite Zustellung in Aussicht gestellt wurde (Urk. 5/27). Gleichentags erliess die Vorinstanz eine separate Verfügung mit folgendem Dispositiv (Urk. 5/21 S. 2f. = Urk. 2 S. 2f.): "1. Die mit Eingabe vom 11. April 2019 gestellten Anträge des Gesuchstellers betreffend Abänderung der Scheidungsvereinbarung vom 28. November 2018 werden abgewie- sen.</w:t>
      </w:r>
    </w:p>
    <w:p>
      <w:r>
        <w:rPr>
          <w:b/>
        </w:rPr>
        <w:t>E. 2</w:t>
      </w:r>
    </w:p>
    <w:p>
      <w:r>
        <w:t>… (Schriftliche Mitteilung)</w:t>
      </w:r>
    </w:p>
    <w:p>
      <w:r>
        <w:rPr>
          <w:b/>
        </w:rPr>
        <w:t>E. 3</w:t>
      </w:r>
    </w:p>
    <w:p>
      <w:r>
        <w:t>a) Die angefochtene Verfügung ist prozessleitender Natur; der Antrag auf Abänderung der anlässlich der Anhörung/Instruktionsverhandlung vom 28. No- vember 2018 abgeschlossenen bzw. angepassten und ergänzten Scheidungs- konvention (vgl. Prot. I S. 3f.) wurde abgewiesen (Urk. 2 S. 2). Gegen prozesslei- tende Verfügungen ist die Beschwerde – von den hier nicht einschlägigen, im Ge- setz explizit vorgesehenen Fällen (Art. 319 lit. b Ziff. 1 ZPO) abgesehen – nur zu- lässig, wenn durch sie der Beschwerde führenden Partei ein nicht leicht wieder- gutzumachender Nachteil droht (Art. 319 lit. b Ziff. 2 ZPO). Ein drohender, nicht leicht wiedergutzumachender Nachteil ist ohne Weiteres anzunehmen, wenn er</w:t>
      </w:r>
    </w:p>
    <w:p>
      <w:r>
        <w:t>- 4 - auch durch einen für den Ansprecher günstigen Endentscheid nicht mehr beseitigt werden kann. Indes ist bei der Annahme eines solchen Nachteils grundsätzlich Zurückhaltung angebracht. Der Gesetzgeber hat die selbstständige Anfechtung gewöhnlicher Inzidenzentscheide absichtlich erschwert, denn der Gang des Pro- zesses sollte nicht unnötig verzögert werden (Botschaft zur Schweizerischen Zi- vilprozessordnung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nicht mehr leicht wie-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Der nicht leicht wiedergutzumachende Nachteil ist vorliegend nicht offen- kundig. Der Gesuchsteller bringt beschwerdeweise vor, die Vorinstanz sei zu Un- recht davon ausgegangen, dass die anlässlich der Verhandlung vom 28. Novem- ber 2018 abgeschlossene Vereinbarung bereits Bindungswirkung habe. Er habe mit seiner Eingabe an die Vorinstanz vom 11. April 2019 seine Auffassung kund- gegeben, dass Gründe vorlägen, welche zur Nichtgenehmigung der Scheidungs- konvention führen müssten. Daher sei seines Erachtens die Bindungswirkung nicht eingetreten und die Abweisung seiner Anträge zur Abänderung der Schei- dungskonvention zu Unrecht erfolgt (Urk. 1 S. 6). Im Weiteren legt der Gesuch- steller in der Beschwerdeschrift dar, inwiefern auf seiner Seite hinsichtlich seines Einkommens und seines Bedarfs von falschen Zahlen ausgegangen worden sei</w:t>
      </w:r>
    </w:p>
    <w:p>
      <w:r>
        <w:t>- 5 - und macht geltend, dass seinerseits ein Willensmangel vorgelegen sei (Urk. 1 S. 3ff.). Schliesslich beantragt der Gesuchsteller, es sei die Scheidungsvereinba- rung aufzuheben, weil seine künftige finanzielle Situation in Bezug auf seinen Lohn und seinen Bedarf nicht voraussehbar gewesen sei, weshalb seine Zustim- mung an einem Fehler leide und zu einer Aufhebung der Vereinbarung führe. Ferner sei die Bindungswirkung wegen Fehlens der gerichtlichen Genehmigung noch nicht eingetreten (Urk. 1 S. 7). Die Parteien werden vorliegend gegen den Erledigungsentscheid des vor- instanzlichen Verfahrens Berufung erheben können (Art. 308 f. ZPO). Mit dieser kann sowohl unrichtige Rechtsanwendung als auch unrichtige Feststellung des Sachverhaltes geltend gemacht werden (Art. 310 ZPO). Damit steht ein vollkom- menes Rechtsmittel zur Verfügung, mit welchem sowohl materielle als auch ver- fahrensrechtliche (prozessuale) Fehler gerügt werden können und mit welchem die rechtlichen Konsequenzen der angefochtenen Verfügung – sofern notwendig – korrigiert werden können. Inwiefern der Gesuchsteller die Genehmigung der Vereinbarung nicht mit Berufung gegen das Scheidungsurteil vom 31. Mai 2019 anfechten können soll, legt er nicht dar und ist auch nicht ersichtlich. Damit dro- hen dem Gesuchsteller durch die von der Vorinstanz mit Verfügung vom 31. Mai 2019 abgewiesenen Anträge auf Abänderung der Scheidungskonvention einst- weilen noch keine nicht leicht wiedergutzumachenden Nachteile.</w:t>
      </w:r>
    </w:p>
    <w:p>
      <w:r>
        <w:rPr>
          <w:b/>
        </w:rPr>
        <w:t>E. 4</w:t>
      </w:r>
    </w:p>
    <w:p>
      <w:r>
        <w:t>Zusammengefasst weist der Gesuchsteller nicht nach, inwiefern er durch den Entscheid der Vorinstanz einen Nachteil erleidet, welcher später nicht mehr leicht wiedergutzumachen sein soll. Da sich die vorliegende Beschwerde somit als offensichtlich unzulässig erweist, ist auf das Einholen einer Beschwer- deantwort der Gesuchsgegnerin zu verzichten (Art. 322 Abs. 2 ZPO).</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w:t>
      </w:r>
    </w:p>
    <w:p>
      <w:r>
        <w:t>- 7 - Zürich, 25. Juni 2019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