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PC190016 vom 27. Juni 2019</w:t>
      </w:r>
    </w:p>
    <w:p>
      <w:r>
        <w:t>ZH Obergericht, 2019-06-27, DE</w:t>
      </w:r>
    </w:p>
    <w:p>
      <w:r>
        <w:rPr>
          <w:b/>
        </w:rPr>
        <w:t xml:space="preserve">Quelle: </w:t>
      </w:r>
      <w:r>
        <w:t>https://mcp.opencaselaw.ch/entscheid/zh_obergericht_PC190016</w:t>
      </w:r>
    </w:p>
    <w:p>
      <w:r>
        <w:t>FR: ZH_OBERGERICHT PC190016 du 27 juin 2019</w:t>
      </w:r>
    </w:p>
    <w:p>
      <w:r>
        <w:t>IT: ZH_OBERGERICHT PC190016 del 27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6. Februar 2019 reichte der Kläger beim Bezirksgericht Hor- gen (Vorinstanz) eine Klage auf Scheidung seiner am tt. August 2016 in Kanada geschlossenen Ehe sowie Regelung der Nebenfolgen ein (Vi-Urk. 1). Nach Einho- lung eines Kostenvorschusses (Vi-Urk. 5 und 7) sowie Mitteilung der Beklagten, dass sie sich derzeit einer Scheidung widersetze (Vi-Urk. 17), setzte die Vor- instanz der Beklagten mit Verfügung vom 14. Mai 2019 Frist zur Einreichung der Klageantwort an (Vi-Urk. 18 = Urk. 2). b) Hiergegen erhob der Kläger am 31. Mai 2019 fristgerecht (Urk. 19/1) Beschwerde und stellte die Beschwerdeanträge (Urk. 1 S. 2; Urk. 6): "1. Es sei im Verfahren FE190026 die verfahrensleitende Verfügung des Bezirksgerichts Horgen vom 14. Mai 2019 vollumfänglich aufzuheben;</w:t>
      </w:r>
    </w:p>
    <w:p>
      <w:r>
        <w:rPr>
          <w:b/>
        </w:rPr>
        <w:t>E. 2</w:t>
      </w:r>
    </w:p>
    <w:p>
      <w:r>
        <w:t>es sei die Vorinstanz nach Art. 327 Abs. 3 lit. a ZPO anzuweisen, a. eine Einigungsverhandlung anzusetzen; b. und bei allenfalls erfolglos durchgeführter Einigungsverhandlung dann dem BF Frist zur Klagebegründung oder zur Ergänzung der Klagebegründung zu setzen;</w:t>
      </w:r>
    </w:p>
    <w:p>
      <w:r>
        <w:rPr>
          <w:b/>
        </w:rPr>
        <w:t>E. 3</w:t>
      </w:r>
    </w:p>
    <w:p>
      <w:r>
        <w:t>a) Das Beschwerdeverfahren beschlägt eine nicht vermögensrecht- liche Streitigkeit. Bei Gegenstandslosigkeit können die Gerichtskosten nach Er- messen verteilt werden (Art. 107 Abs. 1 lit. e ZPO). Dabei sind die konkreten Um- stände des Einzelfalls in Betracht zu ziehen; massgebend kann insbesondere sein, wer die Gegenstandslosigkeit veranlasst hat, welche Partei vermutlich ob- siegt hätte oder welche Partei das gegenstandslos gewordene Verfahren veran- lasst hat. Das Beschwerdeverfahren wurde zwar vom Kläger eingeleitet und die</w:t>
      </w:r>
    </w:p>
    <w:p>
      <w:r>
        <w:t>- 4 - Gegenstandslosigkeit beruht auf der Einreichung der vorinstanzlichen Klageant- wort durch die Beklagte. Gleichwohl wurde es letztlich durch die angefochtene Verfügung – mit welcher die Vorinstanz entgegen BGE 138 III 366 eine Klage- antwort vor Durchführung einer Einigungsverhandlung eingeholt hat (ohne zu be- gründen, dass und wieso eine Ausnahme vorliegen würde) – veranlasst. Für das Beschwerdeverfahren ist daher auf die Erhebung von Gerichtskosten zu verzich- ten (Art. 107 Abs. 2 ZPO). b) Bei dieser Sachlage sind für das Beschwerdeverfahren keine Partei- entschädigungen zuzusprechen; eine Entschädigungspflicht des Staates besteht in solchen Fällen nicht (Art. 107 Abs. 2 ZPO nennt die Gerichtskosten, betrifft da- gegen nach dem klaren Gesetzeswortlaut nicht die Parteikosten [Art. 95 Abs. 1 ZPO]; BGE 140 III 385 E. 4.1; BSK-Rüegg/Rüegg, Art. 107 ZPO N 11).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