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PC190009 vom 22. Mai 2019</w:t>
      </w:r>
    </w:p>
    <w:p>
      <w:r>
        <w:t>ZH Obergericht, 2019-05-22, DE</w:t>
      </w:r>
    </w:p>
    <w:p>
      <w:r>
        <w:rPr>
          <w:b/>
        </w:rPr>
        <w:t xml:space="preserve">Quelle: </w:t>
      </w:r>
      <w:r>
        <w:t>https://mcp.opencaselaw.ch/entscheid/zh_obergericht_PC190009</w:t>
      </w:r>
    </w:p>
    <w:p>
      <w:r>
        <w:t>FR: ZH_OBERGERICHT PC190009 du 22 mai 2019</w:t>
      </w:r>
    </w:p>
    <w:p>
      <w:r>
        <w:t>IT: ZH_OBERGERICHT PC190009 del 22 maggio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Prozessgeschichte</w:t>
      </w:r>
    </w:p>
    <w:p>
      <w:r>
        <w:rPr>
          <w:b/>
        </w:rPr>
        <w:t>E. 1.1</w:t>
      </w:r>
    </w:p>
    <w:p>
      <w:r>
        <w:t>Die Beklagte und Beschwerdeführerin (fortan Beklagte) und B._____ (fort- an Kläger) stehen sich seit dem 20. Februar 2017 vor Vorinstanz in einem Schei-</w:t>
      </w:r>
    </w:p>
    <w:p>
      <w:r>
        <w:t>- 2 - dungsverfahren gegenüber (Urk. 6/1). Mit Eingabe vom 4. Mai 2017 stellte die Beklagte vor Vorinstanz unter anderem ein Gesuch um Zusprechung eines Pro- zesskostenvorschusses in der Höhe von Fr. 4'000.–, eventualiter ersuchte sie um Gewährung der unentgeltlichen Rechtspflege (Urk. 6/8). Mit Verfügung vom 24. Oktober 2018 wurde der Beklagten die unentgeltliche Rechtspflege gewährt und in der Person von Rechtsanwältin lic. iur. X._____ eine unentgeltliche Rechtsvertreterin bestellt (Urk. 6/57).</w:t>
      </w:r>
    </w:p>
    <w:p>
      <w:r>
        <w:rPr>
          <w:b/>
        </w:rPr>
        <w:t>E. 1.2</w:t>
      </w:r>
    </w:p>
    <w:p>
      <w:r>
        <w:t>Mit Eingabe vom 21. November 2018 (Urk. 6/67) reichte die Beklagte im Zusammenhang mit einer Urkundenedition unter anderem die Steuererklärung 2017 ein, die ein Vermögen von rund Fr. 46'000.– auswies (Urk. 6/68/5c). In ihrer Eingabe machte sie gleichzeitig Ausführungen zur Zusammensetzung dieses Vermögens, unter anderem machte sie geltend, sie habe eine auf das Konto ihrer vorehelichen Tochter C._____ bezahlte Genugtuungssumme auf ihr (eigenes) Konto übertragen müssen (Urk. 6/67 S. 3). Mit Verfügung vom 28. November 2018 setzte die Vorinstanz ihr daraufhin (unter anderem) Frist zur Bezifferung dieser Genugtuungssumme an (Urk. 6/69). Der Aufforderung kam die Beklagte innert erstreckter Frist mit Eingabe vom 8. Januar 2019 nach (Urk. 6/78). Da die Beklagte darin insbesondere geltend machte, ihre (voreheliche) Tochter C._____ sei verbeiständet, setzte die Vorinstanz ihr mit Verfügung vom 10. Januar 2019 eine kurze Frist an, um mitunter den entsprechenden Entscheid der Erwachse- nenschutzbehörde betreffend Errichtung einer Beistandschaft für ihre Tochter C._____ einzureichen (Urk. 6/80). Mit Eingabe vom 19. Januar 2019 reichte sie diesen Entscheid nach (Urk. 6/82-83). Mit Eingabe vom 6. Februar 2019 reichte die Beklagte sodann – auf gerichtliche Aufforderung hin (Urk. 6/84) – das gesetz- lich vorgeschriebene Inventar der zu verwaltenden Vermögenswerte der verbei- ständeten Tochter C._____ per Stichdatum der Errichtung der Beistandschaft ein (Urk. 6/86).</w:t>
      </w:r>
    </w:p>
    <w:p>
      <w:r>
        <w:rPr>
          <w:b/>
        </w:rPr>
        <w:t>E. 1.3</w:t>
      </w:r>
    </w:p>
    <w:p>
      <w:r>
        <w:t>Mit Verfügung vom 26. Februar 2019 erliess die Vorinstanz schliesslich fol- genden Entscheid (Urk. 6/88 S. 8 = Urk. 2 S. 8):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