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PC180040 vom 28. März 2019</w:t>
      </w:r>
    </w:p>
    <w:p>
      <w:r>
        <w:t>ZH Obergericht, 2019-03-28, DE</w:t>
      </w:r>
    </w:p>
    <w:p>
      <w:r>
        <w:rPr>
          <w:b/>
        </w:rPr>
        <w:t xml:space="preserve">Quelle: </w:t>
      </w:r>
      <w:r>
        <w:t>https://mcp.opencaselaw.ch/entscheid/zh_obergericht_PC180040</w:t>
      </w:r>
    </w:p>
    <w:p>
      <w:r>
        <w:t>FR: ZH_OBERGERICHT PC180040 du 28 mars 2019</w:t>
      </w:r>
    </w:p>
    <w:p>
      <w:r>
        <w:t>IT: ZH_OBERGERICHT PC180040 del 28 marzo 2019</w:t>
      </w:r>
    </w:p>
    <w:p>
      <w:pPr>
        <w:pStyle w:val="Heading2"/>
      </w:pPr>
      <w:r>
        <w:t>Erwägungen</w:t>
      </w:r>
    </w:p>
    <w:p>
      <w:r>
        <w:rPr>
          <w:b/>
        </w:rPr>
        <w:t>E. 1</w:t>
      </w:r>
    </w:p>
    <w:p>
      <w:r>
        <w:t>a) Die Parteien stehen vor Erstinstanz in einem Scheidungsverfahren. Mit Verfügung vom 22. Oktober 2018 entschied der erstinstanzliche Richter das Fol- gende (Urk. 2 S. 5): " 1. Das vorliegende Scheidungsverfahren wird weder ausgesetzt noch sistiert.</w:t>
      </w:r>
    </w:p>
    <w:p>
      <w:r>
        <w:rPr>
          <w:b/>
        </w:rPr>
        <w:t>E. 2</w:t>
      </w:r>
    </w:p>
    <w:p>
      <w:r>
        <w:t>Das decree absolute vom 5. März 2018 des Family Court Oxford wird nicht als Scheidungsurteil anerkannt.</w:t>
      </w:r>
    </w:p>
    <w:p>
      <w:r>
        <w:rPr>
          <w:b/>
        </w:rPr>
        <w:t>E. 3</w:t>
      </w:r>
    </w:p>
    <w:p>
      <w:r>
        <w:t>Schriftliche Mitteilung an die Parteien, an den Kläger als Gerichts- urkunde, an die Beklagte gegen Empfangsschein und unter Zustel- lung des Doppels von act. 308.</w:t>
      </w:r>
    </w:p>
    <w:p>
      <w:r>
        <w:rPr>
          <w:b/>
        </w:rPr>
        <w:t>E. 4</w:t>
      </w:r>
    </w:p>
    <w:p>
      <w:r>
        <w:t>Die Entscheidgebühr wird angesetzt auf Fr. 500.– und dem Kläger auferlegt.</w:t>
      </w:r>
    </w:p>
    <w:p>
      <w:r>
        <w:rPr>
          <w:b/>
        </w:rPr>
        <w:t>E. 5</w:t>
      </w:r>
    </w:p>
    <w:p>
      <w:r>
        <w:t>Der Kläger wird verpflichtet, der Beklagten eine Prozessentschädi- gung von Fr. 600.– zuzüglich 7.7% Mehrwertsteuer zu bezahlen.</w:t>
      </w:r>
    </w:p>
    <w:p>
      <w:r>
        <w:rPr>
          <w:b/>
        </w:rPr>
        <w:t>E. 6</w:t>
      </w:r>
    </w:p>
    <w:p>
      <w:r>
        <w:t>Schriftliche Mitteilung an die Parteien, an den Kläger unter Beilage des Dop- pels der Urk. 13, an die Beklagte unter Beilage des Doppels der Urk. 17, sowie an die Vorinstanz,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und Art. 93 BGG. Es handelt sich um eine nicht vermögensrechtliche Angelegenheit. Die Beschwerde an das Bundesgericht hat keine aufschiebende Wirkung. Hinsichtlich des Fristenlaufs gelten die Art. 44 ff. BGG.</w:t>
      </w:r>
    </w:p>
    <w:p>
      <w:r>
        <w:t>- 9 - Zürich, 28. März 2019 Obergericht des Kantons Zürich I. Zivilkammer Der Gerichtsschreiber: lic. iur. A. Baumgartner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