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PC180037 vom 29. Juli 2019</w:t>
      </w:r>
    </w:p>
    <w:p>
      <w:r>
        <w:t>ZH Obergericht, 2019-07-29, DE</w:t>
      </w:r>
    </w:p>
    <w:p>
      <w:r>
        <w:rPr>
          <w:b/>
        </w:rPr>
        <w:t xml:space="preserve">Quelle: </w:t>
      </w:r>
      <w:r>
        <w:t>https://mcp.opencaselaw.ch/entscheid/zh_obergericht_PC180037</w:t>
      </w:r>
    </w:p>
    <w:p>
      <w:r>
        <w:t>FR: ZH_OBERGERICHT PC180037 du 29 juillet 2019</w:t>
      </w:r>
    </w:p>
    <w:p>
      <w:r>
        <w:t>IT: ZH_OBERGERICHT PC180037 del 29 luglio 2019</w:t>
      </w:r>
    </w:p>
    <w:p>
      <w:pPr>
        <w:pStyle w:val="Heading2"/>
      </w:pPr>
      <w:r>
        <w:t>Erwägungen</w:t>
      </w:r>
    </w:p>
    <w:p>
      <w:r>
        <w:rPr>
          <w:b/>
        </w:rPr>
        <w:t>E. 1</w:t>
      </w:r>
    </w:p>
    <w:p>
      <w:r>
        <w:t>Rechtsanwältin A._____ stellte vor Vorinstanz mit Eingabe vom 1. März 2018 für ihre Bemühungen und Barauslagen als unentgeltliche Rechtsver- treterin von C._____ in deren Scheidungsverfahren, welches mit Verfügung und Urteil vom 31. Januar 2018 erledigt wurde (act. 5/136), Fr. 27'974.20 (inkl. MwSt) in Rechnung (act. 5/140/1-2). Mit Verfügung vom</w:t>
      </w:r>
    </w:p>
    <w:p>
      <w:r>
        <w:rPr>
          <w:b/>
        </w:rPr>
        <w:t>E. 5</w:t>
      </w:r>
    </w:p>
    <w:p>
      <w:r>
        <w:t>a) Art. 122 ZPO räumt dem unentgeltlichen Rechtsbeistand einen Anspruch auf "angemessene" Entschädigung ein (und nicht auf eine "volle"). Im Kan- ton Zürich berechnet sich die Gebühr für den unentgeltlichen Rechtsbei- stand nach der Verordnung über die Anwaltsgebühren (AnwGebV). Diese Verordnung gilt für die Festsetzung von Parteientschädigungen in Gerichts- verfahren durch die Gerichte schlechthin (vgl. § 1 AnwGebV), sodass unab- hängig davon, ob eine Vertretung im Prozess unentgeltlich erfolgte oder nicht, dieselben Grundsätze gelten. Die Vergütung der Anwältin oder des Anwaltes setzt sich aus der Gebühr (Grundgebühr sowie allfällige Zuschlä- ge) und den notwendigen Auslagen zusammen (§ 1 Abs. 2 AnwGebV). Grundlage für die gerichtliche Festsetzung der Entschädigung (Grundge- bühr) bilden im Scheidungsverfahren (wie bei anderen nicht vermögens- rechtlichen Streitigkeiten) die Verantwortung und der notwendige Zeitauf- wand des Rechtsanwalts sowie die Schwierigkeit des Falles (§ 2 Abs. 1 lit. c, d und e AnwGebV). Besonders zu gewichten sind diese Kriterien indessen nur so weit, wie sie nicht schon von den Regelungen der §§ 4 ff. AnwGebV explizit (vgl. dazu beispielhaft § 4 Abs. 2-3 AnwGebV oder § 5 Abs.1 Anw- GebV) oder implizit (wie beim § 11 AnwGebV) berücksichtigt werden. Miss- verhältnisse i.S. des § 2 Abs. 2 AnwGebV sind stets zu berücksichtigen. In Scheidungsverfahren nach Art. 274-294 ZPO wird die Grundgebühr gemäss § 5 AnwGebV festgesetzt (§ 6 Abs. 1 AnwGebV). Die vorprozessualen Be-</w:t>
      </w:r>
    </w:p>
    <w:p>
      <w:r>
        <w:t>- 13 - mühungen werden angemessen berücksichtigt (§ 6 Abs. 2 AnwGebV). Die Grundgebühr beträgt in der Regel Fr. 1'400.– bis Fr. 16'000.– und ist unter einzelfallbezogener Gewichtung dieser drei Kriterien festzusetzen (§ 6 Abs. 1 i.V.m. § 5 Abs. 1 AnwGebV; s.a. § 2 Abs. 1 lit. c, d und e AnwGebV). Dabei kommt dem Gericht bei der konkreten Bemessung der Entschädigung ein beträchtliches Ermessen zu. Ist im Rahmen von nicht vermögensrechtli- chen Streitigkeiten auch über vermögensrechtliche Rechtsbegehren zu ent- scheiden, die das Verfahren aufwendig gestalten, kann die Grundgebühr bis zum Betrag erhöht werden, der für den Entscheid über die vermögensrecht- lichen Rechtsbegehren allein zu erheben wäre (§ 5 Abs. 2 AnwGebV). Mit- hin greift ein System der Pauschalentschädigung, wobei der tatsächlich ge- leistete Zeitaufwand nur eines von mehreren massgebenden Bemessungs- kriterien darstellt und der unentgeltliche Rechtsbeistand nicht nach der Rechnung "Stunden mal Stundenansatz" honoriert wird. Entsprechend kommt auch die Bestimmung von § 3 AnwGebV, wonach die unentgeltliche Rechtsvertretung mit Fr. 220.– pro Stunde zu entschädigen ist, wenn sich die Gebühr nach dem Zeitaufwand richtet, nicht zur Anwendung (vgl. dem- gegenüber § 16 Abs. 1 AnwGebV und § 21 AnwGebV). Ein solches pauschalisiertes Bemessungssystem ist im Lichte von Art. 122 Abs. 1 lit. a ZPO zulässig; einerseits weil diese Bestimmung die Kantone le- diglich zu einer "angemessenen" und nicht zu einer "vollen" Entschädigung des unentgeltlichen Rechtsvertreters verpflichtet (BGer 5A_157/2015 vom 12. November 2015 Erw. 3.1), und andererseits, weil die Parteientschädi- gungen – und damit auch der Umfang der Entschädigung eines entgeltlich tätig werdenden Rechtsvertreters – ebenfalls nach diesem System bemes- sen werden. Die unentgeltlichen sind insoweit den entgeltlichen Rechtsver- tretern gleichgestellt, und es obliegt daher beiden im Interesse ihrer Klien- ten, ihre Bemühungen im Rahmen der Gebührenordnung zu halten. Unter verfassungsrechtlichen Vorgaben (Art. 9 BV, Willkürverbot) ist letztlich ent- scheidend, ob der notwendige Aufwand angemessen entschädigt wird, so dass eine effektive Vertretung möglich bleibt (BGer 5A_945/2017 vom 20. April 2018 Erw. 4.3). Das Willkürverbot ist verletzt, wenn der Tarif ohne</w:t>
      </w:r>
    </w:p>
    <w:p>
      <w:r>
        <w:t>- 14 - Rücksicht auf die konkreten Verhältnisse angewendet wird und die Entschä- digung im Einzelfall ausserhalb jedes vernünftigen Verhältnisses zu den vom Rechtsanwalt geleisteten Diensten steht. Daher – und da der Stunden- aufwand nach § 2 AnwGebV ein Kriterium darstellt – ist im Sinne einer Kon- trollrechnung zu prüfen, welcher Stundenansatz aus der nach den Tarifen festgesetzten Entschädigung resultiert. Das Bundesgericht hat im Sinne ei- ner Faustregel festgehalten, dass sich die Entschädigung für einen amtli- chen Anwalt im schweizerischen Durchschnitt in der Grössenordnung von 180 Franken pro geltend gemachte Stunde (zuzügl. MwSt) bewegen muss, um vor der Verfassung standzuhalten (BGE 132 I 201 Erw. 8.6 f.; BGE 141 I 124 Erw. 3.2). Diese verfassungsmässig garantierte Entschädigung (vgl. act. 2 S. 11, Erw. 3.13) kann unterschritten werden, wenn der mit der Kos- tennote geltend gemachte Zeitaufwand nicht vollumfänglich notwendig war. Weist die Vertretung in einer Honorarnote die von ihr aufgewandte Zeit aus, ist die pauschal bemessene Gebühr folglich dahingehend zu überprüfen, ob die verfassungsmässig garantierte Entschädigung im Ergebnis gewährleistet ist. Ist dies der Fall, kann von einer Prüfung der Frage, ob der mit der Kos- tennote ausgewiesene Zeitaufwand notwendig war, abgesehen werden. Würde die Pauschale jedoch im Ergebnis zu einem Stundenansatz von deutlich unter Fr. 180.– führen, besteht kein Spielraum mehr für eine abs- trakte Bemessungsweise (vgl. BGer 5A_157/2015 vom 12. November 2015 Erw. 3.3.2 und 3.3.3; BGer 5D_62/2016 vom 1. Juli 2016 Erw. 4.2). Aller- dings kann es nicht im Belieben der unentgeltlichen Rechtsvertretung ste- hen, durch das Aufschreiben einer übermässigen Anzahl Stunden auf die Festsetzung des Honorars Einfluss zu nehmen (BGer 5D_213/2015 vom 8.3.2016, Erw. 7.1.3 mit Hinweisen). Die Kontrollrechnung kann überhaupt nur dort eine Rolle spielen, wo der ausgewiesene Zeitaufwand notwendig im Sinne von § 2 Abs. 2 AnwGebV ist (OGer ZH PC180007 vom 8. Juni 2018 Erw. 4; BGer 5A_157/2015 vom 12. November 2015 Erw. 3.3.2; BGer 5D_213/2015 vom 8. März 2016 Erw. 7.1.4). b) Aufgrund der Vorbringen der Beschwerdeführerin ist zuerst abzuklären, ob die nach AnwGebV berechnete Gebühr von der Vorinstanz korrekt erfolg-</w:t>
      </w:r>
    </w:p>
    <w:p>
      <w:r>
        <w:t>- 15 - te und in einem zweiten Schritt, ob vorliegend die Pauschalgebühr aufgrund der geltend gemachten Aufwendungen angemessen ist, d.h. dem Willkür- verbot standhält. Muss dies verneint werden, hat das Gericht den notwendi- gen (angemessenen) Aufwand zu schätzen.</w:t>
      </w:r>
    </w:p>
    <w:p>
      <w:r>
        <w:rPr>
          <w:b/>
        </w:rPr>
        <w:t>E. 6</w:t>
      </w:r>
    </w:p>
    <w:p>
      <w:r>
        <w:t>a) Der Anspruch auf die Gebühr entsteht mit der Erarbeitung der Begrün- dung oder Beantwortung der Klage, wobei die Gebühr auch den Aufwand für die Teilnahme an der Hauptverhandlung abdeckt (§ 11 Abs. 1 AnwGebV). Für die Teilnahme an zusätzlichen Verhandlungen und für weitere notwen- dige Rechtsschriften ist ein Einzelzuschlag von je höchstens der Hälfte der Gebühr oder ein Pauschalzuschlag zu berechnen. Die Summe der Einzelzu- schläge bzw. der Pauschalzuschlag soll in der Regel höchstens die Gebühr ausmachen (§ 11 Abs. 2 f. AnwGebV). Eine Scheidungsklage kann ohne schriftliche Begründung eingereicht wer- den (Art. 290 ZPO). Nach Eingang der Klage lädt das Gericht zur Einigungs- verhandlung vor (Art. 291 Abs. 1 ZPO). Steht der Scheidungsgrund nicht fest oder kommt keine Einigung zustande, so setzt das Gericht der klagen- den Partei Frist, eine schriftliche Klagebegründung nachzureichen (Art. 291 Abs. 3 ZPO). Die Einigungsverhandlung ist nicht in der Grundgebühr enthal- ten, sondern rechtfertigt einen Zuschlag gestützt auf § 11 Abs. 2 AnwGebV (vgl. dazu auch OG ZH PC130038 vom 26. September 2013 Erw. 3). Der Hinweis der Vorinstanz auf die Praxis des Bundesgerichtes (BGer 5D_33/2017 vom 24. August 2017 Erw.4 mit Verweis auf BGer 5D_14/2017 vom 19. Juli 2017 Erw. 3.3.3, vgl. act. 4 Erw. 3.1) ist unbehelflich. Beide Entscheide betrafen den Aargauer Anwaltstarif und lassen keine direkten Schlüsse auf den Zürcher Anwaltstarif zu. b) Wie bereits erwähnt, siedelte die Vorinstanz den Scheidungsprozess punkto Verantwortung, Aufwand und Schwierigkeit des Falles an der oberen Grenze eines mittelschweren Falles an. Die Beschwerdeführerin gewichtet die einzelnen Elemente höher.</w:t>
      </w:r>
    </w:p>
    <w:p>
      <w:r>
        <w:t>- 16 - Die Unterhaltsfrage war Kernpunkt des Scheidungsverfahrens. Dazu war es nötig die wirtschaftlichen Verhältnisse des Klägers zu kennen. Diese waren ausser der AHV-Rente nicht sofort zu erschliessen. Einerseits gab es eine Unternehmensbeteiligung und andererseits Erlöse aus Filmrechten, Dreh- buchanalysen und Doziertätigkeit. Es fehlte insbesondere an aktuellem Zah- lenmaterial. So hielt auch der Vorsitzende anlässlich der Verhandlung be- treffend vorsorgliche Massnahmen (15. Januar 2018) dem Kläger vor, es falle auf, dass er im Verfahren relativ alte Belege beibringe (Protokoll Vor- instanz S. 32). Ausserdem machten beide Parteien güterrechtliche Ansprüche geltend. Es ging dabei um ein gemeinsam aufgenommenes Darlehen bei der Wüstenrot Bank, um den Erlös aus einem Grundstückverkauf des Klägers, um eine Mehrwertbeteiligung an der Immobilie der Beklagten sowie um eine Beteili- gung der Beklagten am Unternehmen des Klägers. Auch wenn diese güter- rechtlichen Ansprüche nicht einen Zuschlag nach § 5 Abs. 2 AnwGebV er- lauben, sind die damit zusammenhängenden Aufwendungen bei der Fest- setzung der Grundgebühr zu berücksichtigen. Aufwendiger war das Verfahren auch hinsichtlich der Anwendbarkeit des deutschen Rechts für die Unterhaltsabklärungen. Entsprechende Rechts- kenntnisse dürfen von einem Rechtsvertreter nicht vorausgesetzt werden, allerdings weist die Vorinstanz zu Recht darauf hin, dass die schweizerische und deutsche Rechtsordnung zahlreiche Verwandtschaften aufweisen, was die Anwendung des deutschen Rechts wieder erleichtert. Beim Aufwand gilt ferner zu berücksichtigen, dass aussergerichtliche Vergleichsgespräche stattfanden, die das Gericht veranlasst sahen, das Verfahren für etwas mehr als einen Monat zu sistieren (act. 5/115). Die Aufwendungen sind deshalb im mittleren oberen Bereich anzusiedeln. Gleiches hat in Anbetracht der An- wendbarkeit von deutschem Recht für die Wertung der Schwierigkeit des Falles zu gelten. Weder bei der Regelung des Güterrechts noch des Unter- haltsrechts ging es um hohe Beträge. Zu Recht verneint die Vorinstanz eine eigentliche Bedrohung der wirtschaftlichen Existenz der Beklagten. Die Be-</w:t>
      </w:r>
    </w:p>
    <w:p>
      <w:r>
        <w:t>- 17 - klagte erhält zwar seit längerer Zeit (behauptet wird ab 1. November 2015, vgl. act. 5/130 S. 16) Sozialhilfe von Deutschland, sie verfügt aber über eine selbstbewohnte Liegenschaft. Die Beklagte ist am tt. Mai 1959 geboren und steht kurz vor Erreichen des Rentenalters. Sie ist gesundheitlich angeschla- gen (vgl. act. 5/130 S. 16; act. 5/Protokoll Vorinstanz S. 36) und auf Arbeits- suche (act. 5/130 S. 16, act. 5/Protokoll Vorinstanz S. 36). Die Rentenversi- cherung hat die Beklagte 2009 gekündigt (act. 5/131). Es liegt ein Standardfall bzw. keine aussergewöhnliche Situation vor: Ein Ehegatte ist von der Sozialhilfe abhängig und der andere Ehegatte soll in ei- nem kleinen Umfang leistungsfähig sein. Es liegen bescheidene Verhältnis- se vor, diese machen aber die Verantwortung nicht höher. Mit Bezug auf das Kriterium der Verantwortung ist von einem durchschnittlichen Fall auszuge- hen. Unter Berücksichtigung der gesamten Umstände (kompliziertere Verhältnis- se in Bezug auf die wirtschaftlichen Verhältnisse, die zusätzlich notwendigen Abklärungen bezüglich ausländischem Recht und der güterrechtliche Un- stimmigkeiten) erscheint eine im mittleren Bereich des Rahmens liegende Grundgebühr von Fr. 11'000.– angemessen. Wie bereits erwähnt, deckt die Gebühr auch den Aufwand für die Teilnahme an der Hauptverhandlung ab (§ 11 Abs. 1 AnwGebV). Eine solche wurde im Scheidungsverfahren nicht durchgeführt, da sich die Parteien anlässlich der Verhandlung betreffend vorsorgliche Massnahmen vom 15. Januar 2018 (act. 5/Protokoll Vorinstanz S. 14 ff.) einigten und eine Scheidungsvereinba- rung unterzeichneten (act. 5/135). Aufgrund der bereits erfolgten umfangrei- chen Abklärungen der Beschwerdeführerin rechtfertigt es sich für die nicht durchgeführte Hauptverhandlung einen Abzug von 10% vorzunehmen. Wie bereits erwähnt, müsste die Einigungsverhandlung mit einem Zu- und nicht mit einem Abschlag berücksichtigt werden. Da die Beschwerdeführerin aber ihre Mandantin im Zeitpunkt der Einigungsverhandlung noch nicht vertreten hat, entfällt ein Zuschlag. Zuschläge gibt es aber für eine zusätzliche Ver- handlung betreffend vorsorgliche Massnahmen vom 15. Januar 2018</w:t>
      </w:r>
    </w:p>
    <w:p>
      <w:r>
        <w:t>- 18 - (§ 11 Abs. 2 AnwGebV). Vorgeladen wurde auf den 15. Januar 2018 13:30 Uhr (act. 5/128) und um 21:20 Uhr wurde die Verhandlung geschlos- sen (act. 5/Protokoll Vorinstanz S. 39). Normalerweise betragen die einzel- nen Zuschläge 20%. In Anbetracht der langen Verhandlungsdauer ist ein Zuschlag von insgesamt 40% angebracht. Zu- und Abschlag berechnen sich auf der Gebühr von Fr. 11'000.–. Unter Berücksichtigung eines Zuschlages von 40% und eines Abschlages von 10% resultiert somit eine Gebühr von Fr. 14'300.– (130% von Fr. 11'000.–).</w:t>
      </w:r>
    </w:p>
    <w:p>
      <w:r>
        <w:rPr>
          <w:b/>
        </w:rPr>
        <w:t>E. 7</w:t>
      </w:r>
    </w:p>
    <w:p>
      <w:r>
        <w:t>Dass nicht (restlos) auf die Angaben der Beschwerdeführerin abgestellt werden kann, sondern im Sinne einer Gesamtbetrachtung innerhalb der vor- ne wiedergegebenen Bandbreite der angemessene Aufwand bzw. die Ent- schädigung auf Fr. 14'300.– zu bemessen ist, legt auch folgende Betrach- tung nahe: Die Klageantwort umfasst 23 Seiten umfasst (act. 119), die Ver- handlung für die vorsorglichen Massnahmen dauerte 8 Stunden zuzügl. 1 Stunde Fahrzeit (act. 128 i.V.m. Protokoll Vorinstanz S. 39) und das Plä- doyer für diese Verhandlung 20 Seiten aufweist (act. 130). Wird pro Seite mit einer Stunde Aufwand gerechnet, so ergibt dies 52 Stunden. Hinzu kommen 15 Stunden für aussergerichtliche Gespräche, Sichtung von Unter- lagen etc. was einen Aufwand von 67 Stunden ergibt. Damit verblieben noch etwas über 12 Stunden für das Fristerstreckungsgesuch act. 107, das Sistie- rungsgesuch act. 113/1, das Aktenstudium und den zusätzlichen Klienten- verkehr. Diese Entschädigung ist auch im Vergleich zur Entschädigung von Rechts- anwalt X._____, der auch nach der Einigungsverhandlung mandatiert wurde (vgl. act. 5/143/1 und act. 5/94), vertretbar. Dieser machte einen Aufwand von 91,7 Stunden geltend und verlangte hiefür eine Entschädigung von Fr. 20'185.25 zuzügl. MwSt (act. 5/143/1). Zugesprochen wurden ihm pauschal Fr. 15'000.– zuzügl. MwSt (act. 5/144).</w:t>
      </w:r>
    </w:p>
    <w:p>
      <w:r>
        <w:rPr>
          <w:b/>
        </w:rPr>
        <w:t>E. 8</w:t>
      </w:r>
    </w:p>
    <w:p>
      <w:r>
        <w:t>Die Rechtsvertreterin verlangt zwar Ersatz der Mehrwertsteuer, jedoch schuldet ihr die Beklagte wegen ihres Wohnsitzes im Ausland keine Mehr-</w:t>
      </w:r>
    </w:p>
    <w:p>
      <w:r>
        <w:t>- 19 - wertsteuer (Art. 1 Abs. 2 und 8 Abs. 1 MWStG; Kreisschreiben der Verwal- tungskommission des Obergerichts VU060028 vom 17. Mai 2006; e contra- rio aus BGE 141 III 560) und darum kann die Rechtsvertreterin auch nicht Ersatz dafür verlangen. Dem Bezirksgericht ist dieser Umstand entgangen. Das Obergericht hat dies aber im Rahmen der Prüfung des Honorars zu be- achten.</w:t>
      </w:r>
    </w:p>
    <w:p>
      <w:r>
        <w:rPr>
          <w:b/>
        </w:rPr>
        <w:t>E. 9</w:t>
      </w:r>
    </w:p>
    <w:p>
      <w:r>
        <w:t>a) Die Beschwerdeführerin verlangte eine Spesenentschädigung von Fr. 1'326.60 (act. 140/1) und die Vorinstanz sprach lediglich Barauslagen in der Höhe von Fr. 1'007.– zu (act. 4 Erw. 8). Wie bereits erwähnt vergütete die Vorinstanz 1'774 (statt der verlangten 2'413) Kopien à Fr. 0.50 (act. 4 Erw. 8), indem sie die unter dem 29. Mai 2017 und 15. Januar 2018 in der Honorarnote aufgeführten Kopien auf die Hälfte reduzierte. Sie begründete dies damit, die unübliche Höhe der ver- rechneten Kopierkosten lasse sich nur dadurch erklären, dass anstelle der Einreichung der Originalbeilagen mit einer jeweiligen Kopie für die Gegen- partei jeweils zwei Kopiersätze der Originale angefertigt und dem Gericht eingereicht worden seien, wodurch sich die diesbezüglichen Kopierkosten geradezu verdoppelt hätten. Entschädigt werden könnten im Rahmen der unentgeltlichen Rechtspflege indes nur die erforderlichen Kopien für die Ge- genpartei, zumal das Gericht die ihm zur Verfügung gestellten Beilagen nach Rechtskraft regelmässig an die Parteien retourniere (act. 4 Erw. 8). b) Die Beschwerdeführerin bezeichnet die Kürzung der Spesen wegen Er- stellung zweier Kopiersätze der Beilagen als absurd. Denn dies hätte – so die Beschwerdeführerin – dazu geführt, dass die Unterzeichnerin ihre Origi- nalakten nicht mehr gehabt hätte. Sie hätte sich also nicht mehr mit dem Fall beschäftigen können. Offensichtlich müssten die Originalakten zwei Mal ko- piert werden, damit Gericht und Gegenpartei und man selbst jeweils ein Bei- lagenexemplar habe. Ansonsten habe sich die Beklagte bei der Einreichung der Beilagen – im Gegensatz zum Kläger, der seine Bankunterlagen eben nicht eingereicht habe – strikt an das gehalten, was gemäss Vorladung ein-</w:t>
      </w:r>
    </w:p>
    <w:p>
      <w:r>
        <w:t>- 20 - zureichen gewesen sei. Die Kürzung der Barauslagen sei demnach nicht statthaft (act. 2 Ziff. 3.18).</w:t>
      </w:r>
    </w:p>
    <w:p>
      <w:r>
        <w:rPr>
          <w:b/>
        </w:rPr>
        <w:t>E. 10</w:t>
      </w:r>
    </w:p>
    <w:p>
      <w:r>
        <w:t>a) Zu ersetzen sind die bei der Mandatsführung angefallenen notwendigen Auslagen i.S.v. § 22 AnwGebV. Das sind namentlich Reisespesen und Porti sowie die Kosten für Telekommunikation und Fotokopien. Diese sind jeweils einzeln aufzulisten. Die Rechnungstellung wird nicht entschädigt. b) Die Kürzung der Kopierkosten erfolgte zu Unrecht. Den Ausführungen der Beschwerdeführerin ist beizupflichten. Sie hat zu Recht zwei Kopiersätze der jeweiligen Originalbelege erstellt. Entweder behielt sie nämlich die Origi- nalbelege für die Bearbeitung des Falles und reichte zwei Kopiersätze der Vorinstanz ein oder sie behielt eine Kopie in ihren Akten und reichte der Vor- instanz die Belege im Original und mit einem Kopiersatz für die Gegenpartei ein. Die Notwendigkeit dieser Auslagen (vgl. § 22 Abs. 1 AnwGebV) liegt somit auf der Hand. Der Beschwerdeführerin sind deshalb Spesen in der verlangten Höhe von Fr. 1'326.60 zuzusprechen.</w:t>
      </w:r>
    </w:p>
    <w:p>
      <w:r>
        <w:rPr>
          <w:b/>
        </w:rPr>
        <w:t>E. 11</w:t>
      </w:r>
    </w:p>
    <w:p>
      <w:r>
        <w:t>a) Der Beschwerdeführerin ist gestützt auf obige Erwägungen in teilweiser Gutheissung der Beschwerde eine Entschädigung von Fr. 15'626.60 (Fr. 14'300.– + 1'326.60) aus der Gerichtskasse zuzusprechen. Im darüber hinausgehenden Umfang ist die Beschwerde abzuweisen. b) Die Vorinstanz hat die Rechtsvertreterin mit insgesamt Fr. 15'330.– (inkl. MwSt) entschädigt. Mit der Zusprechung einer Entschädigung von Fr. 15'626.60 wird das Verbot der reformatio in peius nicht verletzt.</w:t>
      </w:r>
    </w:p>
    <w:p>
      <w:r>
        <w:rPr>
          <w:b/>
        </w:rPr>
        <w:t>E. 12</w:t>
      </w:r>
    </w:p>
    <w:p>
      <w:r>
        <w:t>Die Beschwerdeführerin obsiegt in einem unwesentlichen Betrag, weshalb ihr die Kosten des vorliegenden Verfahrens aufzuerlegen sind. Eine Ent- schädigung ist nicht geschuldet (Art. 106 ZPO). Die zweitinstanzliche Ent- scheidgebühr ist auf Fr. 500.– festzusetzen.</w:t>
      </w:r>
    </w:p>
    <w:p>
      <w:r>
        <w:t>- 21 -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