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PC180024 vom 12. Juli 2018</w:t>
      </w:r>
    </w:p>
    <w:p>
      <w:r>
        <w:t>ZH Obergericht, 2018-07-12, DE</w:t>
      </w:r>
    </w:p>
    <w:p>
      <w:r>
        <w:rPr>
          <w:b/>
        </w:rPr>
        <w:t xml:space="preserve">Quelle: </w:t>
      </w:r>
      <w:r>
        <w:t>https://mcp.opencaselaw.ch/entscheid/zh_obergericht_PC180024</w:t>
      </w:r>
    </w:p>
    <w:p>
      <w:r>
        <w:t>FR: ZH_OBERGERICHT PC180024 du 12 juillet 2018</w:t>
      </w:r>
    </w:p>
    <w:p>
      <w:r>
        <w:t>IT: ZH_OBERGERICHT PC180024 del 12 luglio 2018</w:t>
      </w:r>
    </w:p>
    <w:p>
      <w:pPr>
        <w:pStyle w:val="Heading2"/>
      </w:pPr>
      <w:r>
        <w:t>Erwägungen</w:t>
      </w:r>
    </w:p>
    <w:p>
      <w:r>
        <w:rPr>
          <w:b/>
        </w:rPr>
        <w:t>E. 1</w:t>
      </w:r>
    </w:p>
    <w:p>
      <w:r>
        <w:t>a) Der Beschwerdeführer und dessen Ehefrau heirateten am tt. Juli 2004; sie haben zwei Kinder (geboren tt.mm.2004 und tt.mm.2007). Mit Ehe- schutz-Entscheid vom 20. Dezember 2007 wurde ihr Getrenntleben geregelt. Am 14. August 2009 reichte die Ehefrau des Beschwerdeführers beim Bezirksgericht Hinwil (Vorinstanz) die Scheidungsklage ein (Vi-Urk. 3). Mit Verfügung vom 6. Ok- tober 2011 bestellte die Vorinstanz dem Beschwerdeführer eine notwendige Ver- treterin im Sinne von § 29 Abs. 2 ZPO/ZH (Vi-Urk. 60). Am 14. März 2014 stellte der Beschwerdeführer ein Gesuch um Aufhebung der notwendigen Vertretung (Vi-Urk. 222), welches von der Vorinstanz mit Verfügung vom 21. März 2014 ab- gewiesen wurde (Vi-Urk. 226; dagegen vom Beklagten erhobene Beschwerden an das Obergericht und das Bundesgericht blieben ohne Erfolg, Vi-Urk. 249 und Vi-Urk. 261). Am 27. April 2015 stellte der Beschwerdeführer erneut ein Gesuch um Aufhebung der notwendigen Vertretung (Vi-Urk. 283), welches von der Vor- instanz mit Verfügung vom 20. Mai 2015 abgewiesen wurde (Vi-Urk. 284). Mit Verfügung vom 11. Juni 2015 entliess die Vorinstanz die bisherige notwendige Vertreterin und bestellte Rechtsanwalt MLaw X._____ als neuen notwendigen Vertreter des Beschwerdeführers (Vi-Urk. 289). Am 21. September 2016 stellte der Beschwerdeführer wiederum ein Gesuch um Überprüfung der notwendigen Vertretung (Vi-Urk. 366). Mit Verfügung vom 28. September 2016 hielt die Vor- instanz an der notwendigen Vertretung fest (Vi-Urk. 370; eine dagegen erhobene Beschwerde an das Obergericht blieb ohne Erfolg, Vi-Urk. 385). b) Am 25. Juni 2018 hat der Beschwerdeführer bei der Kammer eine "Rechtsverweigerungs- und Rechtsverzögerungsbeschwerde" eingereicht und stellt den Beschwerdeantrag (Urk. 1 S. 2): "Es sei das Vorliegen einer Rechtsverzögerung eventualiter einer Rechtsver- weigerung festzustellen. Das Scheidungsverfahren sei an ein anderes Be- zirksgericht zu verweisen, eventualiter sei das Bezirksgericht Hinwil anzuwei- sen, sofort auf Gerichtskosten neue Gutachten zu erstellen, die notwendige Vertretung aufzuheben und mir eine Duplik und ein Beweisverfahren zu er- möglichen, um danach zügig einen Endentscheid zu fällen. Meine freien Kindskontakte seien mir sofort zu ermöglichen. Alles unter Kosten- und Ent- schädigungsfolge zu Lasten der Gerichtskasse."</w:t>
      </w:r>
    </w:p>
    <w:p>
      <w:r>
        <w:t>- 3 - c) Die vorinstanzlichen Akten wurden, soweit angezeigt, beigezogen (ab Vi-Urk. 437). Da sich die Beschwerde sogleich als offensichtlich unbegründet bzw. unzulässig erweist, kann auf prozessuale Weiterungen verzichtet werden (vgl. Art. 322 Abs. 1 ZPO).</w:t>
      </w:r>
    </w:p>
    <w:p>
      <w:r>
        <w:rPr>
          <w:b/>
        </w:rPr>
        <w:t>E. 2</w:t>
      </w:r>
    </w:p>
    <w:p>
      <w:r>
        <w:t>Am 1. Januar 2011 ist die Schweizerische Zivilprozessordnung (ZPO) in Kraft getreten. Gemäss deren Übergangsbestimmungen war (und ist) das vor- instanzliche Verfahren nach den bisherigen zürcherischen Zivilprozessgesetzen (ZPO/ZH und GVG/ZH) zu führen, während für die Zulässigkeit und das Verfahren von Rechtsmitteln, mithin auch für das vorliegende Beschwerdeverfahren, das neue Recht zur Anwendung kommt (Art. 404 f. ZPO).</w:t>
      </w:r>
    </w:p>
    <w:p>
      <w:r>
        <w:rPr>
          <w:b/>
        </w:rPr>
        <w:t>E. 3</w:t>
      </w:r>
    </w:p>
    <w:p>
      <w:r>
        <w:t>a) Der Beschwerdeführer ist, wie erwähnt (oben Erwägung 1.a), notwendig vertreten durch Rechtsanwalt MLaw X._____. Damit ist der Beschwer- deführer für das Scheidungsverfahren sowie mit diesem verbundene Rechtsmit- telverfahren grundsätzlich postulationsunfähig, was bedeutet, dass von ihm selber – ohne den notwendigen Vertreter – vorgenommene Prozesshandlungen nichtig, d.h. vom Gericht nicht zu beachten sind (BSK ZPO-Tenchio, Art. 69 N 21; Hru- besch-Millauer, in: Brunner/Gasser/Schwander, DIKE-Kommentar, Art. 69 N 8). Diese Einschränkung gilt nur dann nicht, wenn es um die Bestellung, Wirkung und/oder Abberufung der notwendigen Vertretung selbst geht. b) Die vorliegende Beschwerde ist daher nur insoweit beachtlich, als es um die Aufhebung der notwendigen Vertretung geht (vgl. Beschwerdeantrag und Urk. 1 S. 6). Ein Gesuch um Aufhebung der notwendigen Vertretung ist allerdings zuerst einmal im vorinstanzlichen Verfahren zu stellen; das Obergericht ist erst (sachlich) zuständig zur Behandlung einer allfälligen Beschwerde gegen einen entsprechenden Entscheid der Vorinstanz. Dass der Beschwerdeführer ein sol- ches Gesuch bei der Vorinstanz gestellt hätte, ist aus den Akten nicht ersichtlich und wird in der Beschwerde auch nicht geltend gemacht. Somit ist diesbezüglich auf die Beschwerde nicht einzutreten (Art. 59 Abs. 1 und Abs. 2 lit. b ZPO). c) Im Übrigen – Rechtsverzögerung, Zuständigkeit, Erstellung neuer Gut- achten, Fristwiederherstellung für Duplik etc., Kindeskontakte (vgl. Beschwerde-</w:t>
      </w:r>
    </w:p>
    <w:p>
      <w:r>
        <w:t>- 4 - antrag) – ist der Beschwerdeführer postulationsunfähig, d.h. er kann nicht selber prozessual handeln. Da der Beschwerdeführer die Beschwerde ohne seinen not- wendigen Vertreter erhoben hat, fehlt es diesbezüglich an einer Prozessvoraus- setzung und auf die Beschwerde ist dementsprechend nicht einzutreten (Art. 59 Abs. 1 und Abs. 2 lit. c ZPO). d) Nach dem Gesagten ist demgemäss auf die Beschwerde insgesamt nicht einzutreten.</w:t>
      </w:r>
    </w:p>
    <w:p>
      <w:r>
        <w:rPr>
          <w:b/>
        </w:rPr>
        <w:t>E. 4</w:t>
      </w:r>
    </w:p>
    <w:p>
      <w:r>
        <w:t>a) Für das Beschwerdeverfahren ist von einer nicht vermögensrecht- lichen Streitigkeit auszugehen. Die zweitinstanzliche Entscheidgebühr ist in An- wendung von § 9 Abs. 1, § 10 Abs. 1 und § 12 der Gerichtsgebührenverordnung auf Fr. 500.-- festzusetzen. b) Die Gerichtskosten des Beschwerdeverfahrens sind ausgangsgemäss dem Beschwerdeführer aufzuerlegen (Art. 106 Abs. 1 ZPO). c) Für das Beschwerdeverfahren sind keine Parteientschädigungen zuzu- 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