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PC180004 vom 2. März 2018</w:t>
      </w:r>
    </w:p>
    <w:p>
      <w:r>
        <w:t>ZH Obergericht, 2018-03-02, DE</w:t>
      </w:r>
    </w:p>
    <w:p>
      <w:r>
        <w:rPr>
          <w:b/>
        </w:rPr>
        <w:t xml:space="preserve">Quelle: </w:t>
      </w:r>
      <w:r>
        <w:t>https://mcp.opencaselaw.ch/entscheid/zh_obergericht_PC180004</w:t>
      </w:r>
    </w:p>
    <w:p>
      <w:r>
        <w:t>FR: ZH_OBERGERICHT PC180004 du 2 mars 2018</w:t>
      </w:r>
    </w:p>
    <w:p>
      <w:r>
        <w:t>IT: ZH_OBERGERICHT PC180004 del 2 marzo 2018</w:t>
      </w:r>
    </w:p>
    <w:p>
      <w:pPr>
        <w:pStyle w:val="Heading2"/>
      </w:pPr>
      <w:r>
        <w:t>Volltext</w:t>
      </w:r>
    </w:p>
    <w:p>
      <w:r>
        <w:t>Obergericht des Kantons Zürich I. Zivilkammer Geschäfts-Nr.: PC180004-O/U Mitwirkend: Oberrichterin Dr. L. Hunziker Schnider, Vorsitzende, Oberrichter Dr. M. Kriech und Oberrichterin lic. iur. Ch. von Moos Würgler sowie Gerichtsschreiber lic. iur. A. Baumgartner Beschluss vom 2. März 2018 in Sachen A._____, Gesuchstellerin und Beschwerdeführerin gegen Kanton Zürich, Beschwerdegegner vertreten durch Bezirksgericht Zürich betreffend Abänderung Scheidungsurteil (unentgeltliche Rechtspflege) Beschwerde gegen eine Verfügung des Einzelgerichts im ordentlichen Ver- fahren am Bezirksgericht Zürich, 5. Abteilung, vom 5. Januar 2018 (FP170232-L)</w:t>
      </w:r>
    </w:p>
    <w:p>
      <w:r>
        <w:t>- 2 - Unter Hinweis auf die Eingabe der Gesuchstellerin und Beschwerdeführerin (fortan Gesuchstellerin) vom 15. Februar 2018 (gleichentags zur Post gegeben; vgl. Urk. 7 S. 1; siehe auch den an Urk. 7 im Berufungsverfahren LC180005-O angehefteten Briefumschlag), unter weiterem Hinweis darauf, dass die Gesuchstellerin die angefochtene Verfügung am 17. Januar 2018 persönlich entgegengenommen hat (Urk. 4), da die Beschwerdefrist entgegen der Ansicht der Gesuchstellerin (Urk. 7 S. 11) zehn Tage beträgt (Art. 321 Abs. 2 ZPO i.V.m. Art. 119 Abs. 3 Satz 1 ZPO, vgl. dazu auch die korrekte Rechtsmittelbelehrung der ersten Verfügung in Urk. 8 S. 4 Dispositivziffer 3), da somit vorliegend die Beschwerdefrist am 29. Januar 2018 abgelaufen ist (Art. 142 Abs. 1 und 3 ZPO), da Eingaben spätestens am letzten Tag der Frist beim Gericht eingereicht oder zu dessen Handen der Schweizerischen Post übergeben werden müssen (Art. 143 Abs. 1 ZPO), da die am 15. Februar 2018 zur Post gegebene Beschwerde daher verspä- tet ist, weshalb darauf nicht einzutreten ist, da die Beschwerde somit von vornherein aussichtslos war, weshalb der Ge- suchstellerin für das zweitinstanzliche Verfahren die von ihr beantragte unentgelt- liche Rechtspflege nicht gewährt werden kann (Art. 117 ZPO), da das Beschwerdeverfahren kostenpflichtig ist, weil die Kostenfreiheit im Verfahren um Gewährung der unentgeltlichen Rechtspflege gemäss höchstrich- terlicher Rechtsprechung nur für das Gesuchs-, nicht hingegen für das entspre- chende Rechtsmittelverfahren gilt (BGer 4D_46/2015 und 4D_48/2015 vom 14. August 2015, je unter Hinweis auf BGE 137 III 470 E. 6), da die Entscheidgebühr des Beschwerdeverfahrens in Anwendung von § 12 Abs. 1 und 2 GebV OG i.V.m. § 6 Abs. 1 GebV OG, § 5 Abs. 1 GebV OG sowie</w:t>
      </w:r>
    </w:p>
    <w:p>
      <w:r>
        <w:t>- 3 - § 8 Abs. 1 GebV OG auf Fr. 200.– festzusetzen ist und die Kosten des Beschwer- deverfahrens gestützt auf Art. 106 Abs. 1 ZPO der Gesuchstellerin aufzuerlegen sind, da von der Zusprechung einer Parteientschädigung abzusehen ist, wird beschlossen: 1. Auf die Beschwerde der Gesuchstellerin wird nicht eingetreten. 2. Das Gesuch der Gesuchstellerin um Gewährung der unentgeltlichen Rechtspflege für das Beschwerdeverfahren wird abgewiesen. 3. Die Entscheidgebühr des Beschwerdeverfahrens wird auf Fr. 200.– festgesetzt. 4. Die Kosten des Beschwerdeverfahrens werden der Gesuchstellerin aufer- legt. 5. Dem Beschwerdegegner wird für das Beschwerdeverfahren keine Parteient- schädigung zugesprochen. 6. Schriftliche Mitteilung an die Parteien, an den Beschwerdegegner unter Bei- lage einer Kopie der Urk. 7,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der Haupt- sache übersteigt Fr. 30'000.–. Die Beschwerde an das Bundesgericht hat keine aufschiebende Wirkung. Hinsichtlich des Fristenlaufs gelten die Art. 44 ff. BGG.</w:t>
      </w:r>
    </w:p>
    <w:p>
      <w:r>
        <w:t>- 4 - Zürich, 2. März 2018 Obergericht des Kantons Zürich I. Zivilkammer Der Gerichtsschreiber: lic. iur. A. Baumgartner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