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PC180002 vom 8. Februar 2018</w:t>
      </w:r>
    </w:p>
    <w:p>
      <w:r>
        <w:t>ZH Obergericht, 2018-02-08, DE</w:t>
      </w:r>
    </w:p>
    <w:p>
      <w:r>
        <w:rPr>
          <w:b/>
        </w:rPr>
        <w:t xml:space="preserve">Quelle: </w:t>
      </w:r>
      <w:r>
        <w:t>https://mcp.opencaselaw.ch/entscheid/zh_obergericht_PC180002</w:t>
      </w:r>
    </w:p>
    <w:p>
      <w:r>
        <w:t>FR: ZH_OBERGERICHT PC180002 du 8 février 2018</w:t>
      </w:r>
    </w:p>
    <w:p>
      <w:r>
        <w:t>IT: ZH_OBERGERICHT PC180002 del 8 febbraio 2018</w:t>
      </w:r>
    </w:p>
    <w:p>
      <w:pPr>
        <w:pStyle w:val="Heading2"/>
      </w:pPr>
      <w:r>
        <w:t>Erwägungen</w:t>
      </w:r>
    </w:p>
    <w:p>
      <w:r>
        <w:rPr>
          <w:b/>
        </w:rPr>
        <w:t>E. 24</w:t>
      </w:r>
    </w:p>
    <w:p>
      <w:r>
        <w:t>November 2017 setzte die Vorinstanz dem Gesuchsteller eine Nachfrist von 14 Tagen zur Einreichung von sämtlichen als Beweismittel angerufenen Urkunden im Original sowie in zweifacher Kopie (Urk. 6/881). Auf die dagegen erhobene Beschwerde des Gesuchstellers (Urk. 6/886) trat die Kammer mit Beschluss vom 6. Februar 2018 nicht ein (PC170046-O). Mit Eingabe vom 11. Dezember 2017 verlangte der Gesuchsteller Fristabnahme in Bezug auf die Aufforderung zur Ein- reichung der Originale (Wiedererwägungsgesuch, Urk. 6/885). Mit Verfügung vom 14. Dezember 2017 setzte die Vorinstanz den Parteien "in Ergänzung der Verfü- gungen vom 9. Juni und 24. November 2017" eine Frist von 10 Tagen zur Einrei- chung der Originale resp. zur Erklärung, weshalb dies nicht möglich sei sowie zur Verbesserung ihrer Anträge zur Einholung von Gutachten. Im Übrigen wies sie das Wiedererwägungsgesuch des Gesuchstellers vom 11. Dezember 2017 ab (Urk. 6/887 = Urk. 2). 1.2. Dagegen erhob der Gesuchsteller mit Eingabe vom 17. Januar 2018 Be- schwerde (Urk. 1). 1.3. Die vorinstanzlichen Akten wurden beigezogen. Da sich die Beschwerde - wie nachstehend zu zeigen ist - sogleich als offensichtlich unzulässig erweist, kann auf die Einholung einer Beschwerdeantwort verzichtet werden (Art. 322 Abs. 1 ZPO). 2.1. Das vorliegende Verfahren weist einen übergangsrechtlichen Charakter auf. Es wurde vor Inkrafttreten der eidgenössischen Zivilprozessordnung bei der Vor-</w:t>
      </w:r>
    </w:p>
    <w:p>
      <w:r>
        <w:t>- 3 - instanz anhängig gemacht, weshalb für das erstinstanzliche Verfahren weiterhin das frühere kantonale Zivilprozessrecht (ZPO/ZH und GVG/ZH) zur Anwendung gelangt (Art. 404 Abs. 1 ZPO). Dagegen gilt für die Rechtsmittel das Recht, das bei der Eröffnung des Entscheides in Kraft ist (Art. 405 Abs. 1 ZPO). Vorliegend richtet sich das Rechtsmittelverfahren somit nach der eidgenössischen Zivilpro- zessordnung, zumal Art. 405 Abs. 1 ZPO auch für Rechtsmittel gegen prozesslei- tende Verfügungen gilt (BGE 137 III 424 E. 2.3.2, Freiburghaus/Afheldt, in: Sutter- Somm et al., ZPO Komm., Art. 405 N 6a). Folgerichtig erhob der Gesuchsteller Beschwerde gegen den vorinstanzlichen Entscheid. 2.2. Die Frist zur Erhebung der Beschwerde beträgt 10 Tage (Art. 321 Abs. 2 ZPO). Sie ist als gesetzliche Frist im ordentlichen Verfahren vom Fristen- stillstand betroffen. Für diesen gelten entgegen der Auffassung des Gesuchstel- lers nicht die altrechtlichen Bestimmungen (Urk. 1 S. 3), sondern er richtet sich, da es sich um die Fristberechnung eines Rechtsmittels der eidgenössischen Zivil- prozessordnung handelt, nach Art. 145 ZPO. Der Stillstand dauert somit über den Jahreswechsel vom 18. Dezember bis 2. Januar (Art. 145 Abs. 1 lit. c ZPO). Der Gesuchsteller nahm die angefochtene Verfügung am 18. Dezember 2017 entge- gen (Urk. 6/888/2). Die Beschwerdefrist begann demnach aufgrund des Fristen- stillstands am 3. Januar 2018 zu laufen und endete am 12. Januar 2018. Gemäss Art. 143 Abs. 1 ZPO müssen Eingaben spätestens am letzten Tag der Frist beim Gericht eingereicht oder zu dessen Handen der Schweizerischen Post übergeben werden. Der Gesuchsteller hat seine Beschwerdeschrift am 17. Januar 2018 bei der Post aufgegeben (vgl. Briefumschlag zu Urk. 1). Seine Beschwerde ist somit verspätet, weshalb nicht auf sie einzutreten ist. 3. Ausgangsgemäss sind die Kosten des Beschwerdeverfahrens dem Gesuch- steller aufzuerlegen (Art. 106 Abs. 1 ZPO). Diese sind in Anwendung von § 9 Abs. 1 und § 10 Abs. 1 i.V.m. § 12 Abs. 1 GebV OG auf Fr. 800.– festzusetzen. Parteientschädigungen sind nicht zuzusprechen, dem Gesuchsteller zufolge sei- nes Unterliegens, den übrigen Prozessbeteiligten mangels relevanter Umtriebe (Art. 95 Abs. 3 ZPO und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