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PC170044 vom 13. Dezember 2017</w:t>
      </w:r>
    </w:p>
    <w:p>
      <w:r>
        <w:t>ZH Obergericht, 2017-12-13, DE</w:t>
      </w:r>
    </w:p>
    <w:p>
      <w:r>
        <w:rPr>
          <w:b/>
        </w:rPr>
        <w:t xml:space="preserve">Quelle: </w:t>
      </w:r>
      <w:r>
        <w:t>https://mcp.opencaselaw.ch/entscheid/zh_obergericht_PC170044</w:t>
      </w:r>
    </w:p>
    <w:p>
      <w:r>
        <w:t>FR: ZH_OBERGERICHT PC170044 du 13 décembre 2017</w:t>
      </w:r>
    </w:p>
    <w:p>
      <w:r>
        <w:t>IT: ZH_OBERGERICHT PC170044 del 13 dicembre 2017</w:t>
      </w:r>
    </w:p>
    <w:p>
      <w:pPr>
        <w:pStyle w:val="Heading2"/>
      </w:pPr>
      <w:r>
        <w:t>Erwägungen</w:t>
      </w:r>
    </w:p>
    <w:p>
      <w:r>
        <w:rPr>
          <w:b/>
        </w:rPr>
        <w:t>E. 3</w:t>
      </w:r>
    </w:p>
    <w:p>
      <w:r>
        <w:t>A., Vorbemerkungen zu den Art. 308-318, N 49 f.).</w:t>
      </w:r>
    </w:p>
    <w:p>
      <w:r>
        <w:t>- 3 - 2.2.2 Die vorliegende Rechtsmittelschrift wurde explizit als Beschwerde be- zeichnet und an die angerufene Kammer adressiert und enthält einen Rechtsmit- telantrag. Sodann ist zu berücksichtigen, dass die Klägerin anwaltlich vertreten ist. Entsprechend aber ist nicht von einer Unklarheit auszugehen; weitere Abklä- rungen erübrigen sich. Vielmehr ist davon auszugehen, dass ein Wille zur Be- schwerdeerhebung klar bestanden hat; die Klägerin aber hat ihre Beschwerde nur für den Fall erhoben, dass sie bei Stellen eines Gesuchs um Gewährung der un- entgeltlichen Rechtspflege bei der Vorinstanz gleichzeitig die vorinstanzliche Ver- fügung anzufechten hätte. Dies ist – wie soeben ausgeführt – unzulässig, weshalb auf die Beschwerde nicht einzutreten ist. 2.3 Ohnehin hat das Bundesgericht in seinem Entscheid vom 2. Juli 2012 festgehalten, dass ein Gericht bis zum rechtskräftigen Entscheid über ein hängi- ges Gesuch um unentgeltliche Rechtspflege keinen Nichteintretensentscheid we- gen Nichtleistung des Kostenvorschusses fällen dürfe, da der gesuchstellenden Partei bei einer allfälligen Verweigerung der unentgeltlichen Rechtspflege durch erneute Fristansetzung jedenfalls die Möglichkeit eingeräumt werden müsse, den verlangten Kostenvorschuss (noch) zu bezahlen, ansonsten der Anspruch auf un- entgeltliche Rechtspflege ausgehöhlt würde. So wäre die gesuchstellende Partei gezwungen, den Kostenvorschuss zur Vermeidung eines Nichteintretensent- scheides zu bezahlen, ohne dass über ihr Gesuch um Gewährung der unentgeltli- chen Rechtspflege rechtskräftig entschieden wäre (BGer 5A_23/2012 vom 2. Juli 2012, E. 3.1 mit Verweis auf die bisherige bundesgerichtliche Rechtsprechung, insbesondere auch BGE 138 III 163 E. 4.2 = Pra 102 (2013) Nr. 98). Das Gesuch um Gewährung der unentgeltlichen Rechtspflege schiebt die Frist zur Vorschuss- leistung gleichsam auf. Wird das Armenrechtsgesuch abgewiesen, so ist die Frist zur Vorschussleistung entweder von Amtes wegen zu erstrecken oder neu anzu- setzen (BGE 138 III 163 E .4.2). Solange über das Gesuch für die unentgeltliche Rechtspflege nicht entschieden worden sei, dürfe das Gericht keinen Kostenvor- schuss verlangen und den Ablauf der Frist bestimmen (BGE 138 III 672 E. 4.2.1 [= Pra 102 (2013) Nr. 24] mit Verweis auf BGE 138 III 163 E. 4.2). Damit aber wä- re der Klägerin – bei Einreichen eines Gesuchs um Gewährung der unentgeltli- chen Rechtspflege bei der Vorinstanz während der Frist zur Vorschussleistung –</w:t>
      </w:r>
    </w:p>
    <w:p>
      <w:r>
        <w:t>- 4 - diese Frist ohnehin aufgeschoben worden und der Klägerin fehlte es an der für das vorliegende Rechtsmittel erforderlichen Beschwer, d.h. sie erleidet keinen Nachteil (Art. 59 Abs. 2 lit. a ZPO). 2.4 Schliesslich fehlt in der Beschwerde jegliche Auseinandersetzung mit dem angefochtenen Entscheid und damit eine eigentliche Begründung (Art. 321 Abs. 1 ZPO). 2.5 Damit erweist sich die Beschwerde als offensichtlich unzulässig, wes- halb auf das Einholen einer Beschwerdeantwort der Gegenpartei verzichtet wer- den kann (Art. 322 Abs. 1 ZPO).</w:t>
      </w:r>
    </w:p>
    <w:p>
      <w:r>
        <w:rPr>
          <w:b/>
        </w:rPr>
        <w:t>E. 3.1</w:t>
      </w:r>
    </w:p>
    <w:p>
      <w:r>
        <w:t>Die zweitinstanzliche Entscheidgebühr ist in Anwendung von § 12 Abs. 1 und Abs. 2 GebV OG in Verbindung mit § 9 Abs. 1 GebV OG und § 11 GebV OG auf Fr. 800.– festzusetzen und ausgangsgemäss der unterliegenden Klägerin aufzuerlegen (Art. 106 Abs. 1 ZPO).</w:t>
      </w:r>
    </w:p>
    <w:p>
      <w:r>
        <w:rPr>
          <w:b/>
        </w:rPr>
        <w:t>E. 3.2</w:t>
      </w:r>
    </w:p>
    <w:p>
      <w:r>
        <w:t>Dem Beklagten und Beschwerdegegner (fortan Beklagter) ist mangels erheblicher Umtriebe im Beschwerdeverfahren keine Parteientschädigung zuzu- 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