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PC170017 vom 20. Juni 2017</w:t>
      </w:r>
    </w:p>
    <w:p>
      <w:r>
        <w:t>ZH Obergericht, 2017-06-20, DE</w:t>
      </w:r>
    </w:p>
    <w:p>
      <w:r>
        <w:rPr>
          <w:b/>
        </w:rPr>
        <w:t xml:space="preserve">Quelle: </w:t>
      </w:r>
      <w:r>
        <w:t>https://mcp.opencaselaw.ch/entscheid/zh_obergericht_PC170017</w:t>
      </w:r>
    </w:p>
    <w:p>
      <w:r>
        <w:t>FR: ZH_OBERGERICHT PC170017 du 20 juin 2017</w:t>
      </w:r>
    </w:p>
    <w:p>
      <w:r>
        <w:t>IT: ZH_OBERGERICHT PC170017 del 20 giugno 2017</w:t>
      </w:r>
    </w:p>
    <w:p>
      <w:pPr>
        <w:pStyle w:val="Heading2"/>
      </w:pPr>
      <w:r>
        <w:t>Erwägungen</w:t>
      </w:r>
    </w:p>
    <w:p>
      <w:r>
        <w:rPr>
          <w:b/>
        </w:rPr>
        <w:t>E. 22</w:t>
      </w:r>
    </w:p>
    <w:p>
      <w:r>
        <w:t>September 2010, E. 3.2.2., BGer 5A_446/2009 vom 19. April 2013, E. 6.2.2.). 3.5. Insgesamt erweist sich die Beschwerde der Klägerin somit als unbegründet, weshalb sie abzuweisen ist. 4.1. Im Verfahren betreffend unentgeltliche Rechtspflege werden grundsätzlich keine Kosten erhoben (Art. 119 Abs. 6 ZPO). Nach bundesgerichtlicher Recht- sprechung gilt dies allerdings nur für das Gesuchsverfahren, nicht jedoch für ein Beschwerdeverfahren darüber (BGE 137 III 470). Die Gerichtskosten für das vor- liegende Verfahren sind in Anwendung der Gebührenverordnung des Oberge- richts vom 8. September 2010 (GebV OG) auf Fr. 800.– festzusetzen (§ 12 GebV OG i.V.m. § 9 Abs. 1 GebV OG) und ausgangsgemäss der Klägerin aufzuerlegen (Art. 106 Abs. 1 ZPO). Parteientschädigungen sind keine zuzusprechen (vgl. auch BGE 139 III 334). 4.2. Die Klägerin hat für das Beschwerdeverfahren ein Gesuch um Gewährung der unentgeltlichen Rechtspflege gestellt (Urk. 1 S. 2). Dieses ist jedoch zufolge Aussichtslosigkeit der Beschwerde (vgl. vorstehende Erwägungen) abzuweisen (Art. 117 lit. b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