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PC170008 vom 22. Mai 2017</w:t>
      </w:r>
    </w:p>
    <w:p>
      <w:r>
        <w:t>ZH Obergericht, 2017-05-22, DE</w:t>
      </w:r>
    </w:p>
    <w:p>
      <w:r>
        <w:rPr>
          <w:b/>
        </w:rPr>
        <w:t xml:space="preserve">Quelle: </w:t>
      </w:r>
      <w:r>
        <w:t>https://mcp.opencaselaw.ch/entscheid/zh_obergericht_PC170008</w:t>
      </w:r>
    </w:p>
    <w:p>
      <w:r>
        <w:t>FR: ZH_OBERGERICHT PC170008 du 22 mai 2017</w:t>
      </w:r>
    </w:p>
    <w:p>
      <w:r>
        <w:t>IT: ZH_OBERGERICHT PC170008 del 22 maggio 2017</w:t>
      </w:r>
    </w:p>
    <w:p>
      <w:pPr>
        <w:pStyle w:val="Heading2"/>
      </w:pPr>
      <w:r>
        <w:t>Erwägungen</w:t>
      </w:r>
    </w:p>
    <w:p>
      <w:r>
        <w:rPr>
          <w:b/>
        </w:rPr>
        <w:t>E. 15</w:t>
      </w:r>
    </w:p>
    <w:p>
      <w:r>
        <w:t>Dezember 2014 gestellte Gesuch um Leistung eines Prozesskostenvorschus- ses bzw. eventualiter um unentgeltliche Rechtspflege mit vorinstanzlicher Verfü- gung vom 16. Juni 2015 abgewiesen. Gegen diesen Entscheid wurde kein Rechtsmittel ergriffen (vgl. Ziff. 1.2 vorstehend). Die Vorinstanz hat in diesem Zu- sammenhang im angefochtenen Entscheid bemerkt, dass bereits hieraus fraglich ist, ob die Beklagte berechtigt war, nach knapp eineinhalb Jahren erneut Gleiches anzubegehren (Urk. 2 S. 8 E. II.2.). Hinsichtlich der Zulässigkeit eines abermali- gen Armenrechtsgesuchs kann auf die zutreffenden Erwägungen der Vorinstanz verwiesen werden. Die erneut gestellten Rechtsbegehren der Beklagten stellen demnach weder ein Wiedererwägungsgesuch noch ein Revisionsgesuch dar, da die Beklagte keine erheblichen Tatsachen oder Beweismittel anführte, die ihr im früheren Verfahren nicht bekannt waren oder die schon damals geltend zu ma- chen für sie rechtlich oder tatsächlich unmöglich war oder hierfür keine Veranlas- sung bestand. Ihre Rechtsbegehren sind vielmehr als neues Gesuch zu charakte-</w:t>
      </w:r>
    </w:p>
    <w:p>
      <w:r>
        <w:t>- 8 - risieren. Entscheidend für dessen Zulässigkeit ist somit, ob die das neue Gesuch stellende Partei glaubhaft darlegen kann, dass sich die Verhältnisse seit dem früheren Entscheid aufgrund neuer, nach diesem Entscheid eingetretener Tatsa- chen und Beweismittel zu ihren Ungunsten geändert haben (Urk. 2 S. 8 f. E. II.2.1 f.). Die vorinstanzliche Feststellung, wonach sich seit Erlass ihres Entscheids vom</w:t>
      </w:r>
    </w:p>
    <w:p>
      <w:r>
        <w:rPr>
          <w:b/>
        </w:rPr>
        <w:t>E. 16</w:t>
      </w:r>
    </w:p>
    <w:p>
      <w:r>
        <w:t>Juni 2015 betreffend Prozesskostenvorschuss bzw. unentgeltliche Rechts- pflege – und mithin der (letzten) Abweisung der entsprechenden Rechtsbegehren – keine wesentliche Änderung ergeben habe, wurde vorliegend nicht bean- standet, obschon sich das erneute Gesuch der Beklagten bereits damit an sich als unzulässig erweist. Wie überdies von der Vorinstanz im angefochtenen Entscheid erwogen, hat eine Person Anspruch auf Gewährung unentgeltliche Rechtspflege, wenn sie nicht über die erforderlichen Mittel verfügt und ihr Rechtsbegehren nicht aussichtslos erscheint (Art. 117 ZPO). Die unentgeltliche Rechtspflege umfasst die Befreiung von Vorschuss- und Sicherheitsleistungen, die Befreiung von den Gerichtskosten sowie die gerichtliche Bestellung einer Rechtsbeiständin oder eines Rechtsbei- stands, wenn dies zur Wahrung der Rechte notwendig ist (Art. 118 Abs. 1 ZPO; Urk. 2 S. 3 f. E. II.1.1). Das Institut des Armenrechts soll verhindern, dass jemand aus finanziellen Gründen seine Rechte nicht wahrnehmen kann. Es stellt sich folglich nur die Frage, ob jemand über die nötigen Mittel verfügt, um für die Pro- zesskosten aufzukommen. Indessen sind die Voraussetzungen der unentgeltli- chen Prozessführung weniger streng als jene der Unpfändbarkeit nach Art. 192 ff. SchKG. Dem wird in der Praxis dadurch Rechnung getragen, dass zunächst von einem erweiterten Notbedarf ausgegangen wird und weiter der gesuchstellenden Partei ein gewisser Freibetrag zugebilligt wird. Da die Prozesskosten regelmässig nur während eines befristeten Zeitraums anfallen, ist es einer Partei zudem zu- zumuten, vorübergehend auf den gewohnten Lebensstandard zu verzichten. Es ist in jedem Einzelfall individuell zu prüfen, inwieweit es einer Partei zuzumuten ist, für die Prozesskosten aufzukommen (ZR 96 Nr. 11). Sowohl für die Aktiv- wie auch die Passivseite gilt das sogenannte Effektivitätsprinzip. Dies bedeutet, dass nur auf die tatsächlichen finanziellen Verhältnisse abgestellt wird. Nur diejenigen Aktiven und Passiven, die tatsächlich (effektiv) vorhanden und verfügbar oder</w:t>
      </w:r>
    </w:p>
    <w:p>
      <w:r>
        <w:t>- 9 - wenigstens kurzfristig realisierbar sind, werden für die Beurteilung der Mittellosig- keit berücksichtigt (Daniel Wuffli, SSZR - Schriften zum Schweizerischen Zivilpro- zessrecht Band Nr. 21, Die unentgeltliche Rechtspflege in der Schweizerischen Zivilprozessordnung, 2015, S. 59 Rz. 130 m.w.H.). Die prozessuale Bedürftigkeit ist zu verneinen, wenn die gesuchstellende Partei mit ihrem Aktivsaldo (Differenz zwischen anrechenbaren Einkommen und Ausgaben) die mutmasslichen Pro- zesskosten innert eines Jahres bzw. bei kostspieligen Prozessen innert zweier Jahre bezahlen kann oder zumindest könnte (Daniel Wuffli, a.a.O., S. 136 Rz. 318). Die der Beklagten im angefochtenen Entscheid von der Vorinstanz angerechne- ten monatlichen Einnahmen von Fr. 7'265.– und Ausgaben (unter Berücksichti- gung der Steuerlast) von Fr. 7'075.–, womit ein Überschuss von knapp Fr. 200.– pro Monat resultiert, sind von ihr vorliegend nicht beanstandet worden. Bei genauerer Betrachtung rechtfertigt sich die Höhe des der Beklagten von der Vorinstanz angerechneten Bedarfs nicht. Vorliegend unbestritten ist, dass die Be- klagte wegen der Fremdplatzierung ihres Sohnes E._____ gegenwärtig in tat- sächlicher Hinsicht alleine lebt. Im Zusammenhang mit den von der Beklagten geltend gemachten Kosten für die Heimplatzierung ihres Sohnes E._____ im Um- fang von Fr. 150.– pro Monat hat die Vorinstanz zutreffend erwogen, dass die Be- klagte wegen der Fremdplatzierung auch gewisse Einsparungen hat. Zwar redu- zieren sich die Barauslagen für E._____, namentlich die Ausgaben für die Kran- kenkasse sowie dessen Arztkosten, die Kosten für Hobbies sowie der Anteil von E._____ an den Wohnkosten, wegen der Fremdplatzierung nicht. Sodann fallen die Ausgaben für Kleider, Sackgeld und Wäsche weiterhin an. Allerdings hat die Beklagte für die Ernährung von E._____ keinerlei Ausgaben, womit sie zumindest in diesem Bereich Einsparungen hat (vgl. Urk. 2 S. 6 E. II.1.3.5). Gemäss Ziffer V. des Kreisschreibens der Verwaltungskommission des Obergerichts des Kantons Zürich betreffend die Richtlinien für die Berechnung des betreibungsrechtlichen Existenzminimums vom 16. September 2009 (Kreisschreiben) beträgt der Anteil für Nahrungskosten 50 Prozent des Grundbetrages. Damit einhergehend beziffern sich die Einsparungen der Beklagten beim Grundbetrag für E._____ von Fr. 600.–</w:t>
      </w:r>
    </w:p>
    <w:p>
      <w:r>
        <w:t>- 10 - gemäss Ziffer II.4. des Kreisschreibens mit Fr. 300.–. Der Fremdplatzierung von E._____ zufolge ist denn auch fraglich, ob der Beklagten in ihrem Bedarf der mo- natliche Grundbetrag für eine alleinerziehende Person ohne Haushaltgemein- schaft mit erwachsenen Personen von Fr. 1'350.– (Ziff. II.2.2 Kreisschreiben) oder nicht vielmehr derjenige für eine alleinstehende Person ohne Haushaltgemein- schaft von Fr. 1'200.– (Ziff. II.1.2 Kreisschreiben) zusteht. Weiter hat die Vorin- stanz der Beklagten im Bedarf unter den Titeln "Telefon und Internet" und "Billag" insgesamt Fr. 185.– (Fr. 148.– + Fr. 37.–) pro Monat zugebilligt (vgl. Urk. 2 S. 14 E. II.3.), was zwar seitens der Beklagten ausgewiesen wurde (Urk. 294/6), indes aber als zu hoch erscheint. Insbesondere die Höhe der monatlichen Abonne- mentskosten für das Mobiltelefon von Fr. 99.– wurde seitens der Beklagten im vorinstanzlichen Verfahren nicht weiter begründet. Es ist ihr daher unter dem Titel "Kommunikation und Mediennutzung" zusammengefasst ein gerichtsnotorischer Betrag von Fr. 120.– pro Monat zuzubilligen. Zu weiteren Bemerkungen Anlass geben auch die von der Vorinstanz im Bedarf der Beklagten unter den Titeln "Zentrale Inkassostelle der Gerichte" und "Abzahlung Steuerschulden 2013" be- rücksichtigten Abzahlungsschulden (vgl. Urk. 2 S. 14 E. II.3.). Im Rahmen der Be- urteilung der Bedürftigkeit spielt der Effektivitätsgrundsatz eine tragende Rolle. Schuldverpflichtungen können nur dann im Existenzminimum des Gesuchstellers berücksichtigt werden, wenn deren effektive Tilgung ausgewiesen ist (vgl. BGer 4A_675/2012, 4A_677/2012 vom 18. Januar 2013, E. 7.2; BGer 5A_329/2010 vom 16. Juli 2010, E. 3.2.1; BGE 135 I 221 E. 5.1 S. 223 f.). Seitens der Beklag- ten wurde insbesondere nicht belegt, dass sie ihre Steuernachzahlungspflicht in tatsächlicher Hinsicht auch nachgekommen ist bzw. nachkommt. Die im Bedarf unter dem Titel "Abzahlung Steuerschulden 2013" aufgeführte monatliche Belas- tung im Betrag von Fr. 500.– ist folglich zu streichen. Nach dem Gesagten – und ungeachtet der (zu) hohen Wohnkosten für eine in tatsächlicher Hinsicht allein- stehende Person – ist der Beklagten entgegen der Vorinstanz lediglich ein um Fr. 1015.– (Fr. 300.– [+ Fr. 150.–] + Fr. 65.– + Fr. 500.–) bzw. (ohne Annahme des tieferen Grundbetrages für alleinstehende Erwachsene) Fr. 865.– zu reduzie- render Bedarf pro Monat zuzubilligen. Eine Gegenüberstellung der Einnahmen von Fr. 7'265.– und der so resultierenden Ausgaben von höchstens – immer noch</w:t>
      </w:r>
    </w:p>
    <w:p>
      <w:r>
        <w:t>- 11 - stattlichen – Fr. 6'210.– ergibt einen Aktivenüberschuss von Fr. 1'050.– pro Mo- nat, mithin einen solchen von zumindest Fr. 12'600.– pro Jahr respektive Fr. 25'200.– in zwei Jahren. Selbstredend ist daher davon auszugehen, dass die Beklagte in der Lage ist, die anfallenden Gerichts- und Anwaltskosten (-vorschüs- se) innert absehbarer Zeit zu leisten. Sowohl mit dem ihr von der Vorinstanz angerechneten als auch mit dem ihr vor- liegend zugebilligten Bedarf konnte bzw. kann der Beklagten zugemutet werden, vorübergehend auf den gewohnten und doch gehobenen Lebensstandard zu ver- zichten und die für die Bestreitung des Prozesses notwendigen Rücklagen zu machen. Auch wenn die Rechtsprechung bei der Bewilligung der Armenrechts- pflege von einem erweiterten Existenzminimum ausgeht, muss dies dann eine Grenze finden, wenn der Staat damit einen gehobenen Lebensstandard oder gar Luxusbedürfnisse einer Partei indirekt mitfinanzieren müsste. In diesem Zusammenhang ist auch darauf hinzuweisen, dass gemäss den vorlie- gend unbestritten gebliebenen Erwägungen der Vorinstanz die Beklagte bis zu ih- rem abermaligen Armenrechtsgesuch aktenkundig einen Audi A1 leaste, wofür sie im Jahr 2012 eine Anzahlung von Fr. 15'000.– leistete. Offensichtlich hat sich die Beklagte zwischenzeitlich ein neues Fahrzeug, einen Audi Q3 2.0TDI 140 quattro S tronic, angeschafft. Den entsprechenden Leasingvertrag über das neue Fahr- zeug hat sie gegen Ende April 2015 abgeschlossen, die erste Rate in der Höhe von Fr. 351.– wurde am 17. Mai 2015 fällig. In ihrer Eingabe vom 15. Dezember 2014 hat sie in ihrem damals geltend gemachten Bedarf noch Transportkosten für den öffentlichen Verkehr geltend gemacht. Erst im dem vorliegenden Beschwer- deverfahren zugrunde liegenden erstinstanzlichen Verfahren wollte sie Kosten im Zusammenhang mit einem Personenwagen in ihrem Bedarf berücksichtigt haben (vgl. Urk. 2 S. 9 f. E. II.2.2.3), was die Vorinstanz allerdings verneint hat und von der Beklagten vorliegend nicht beanstandet wurde. Augenscheinlich vermag sich die Beklagte den Unterhalt und die Leasingraten für einen Kompakt-SUV der obe- ren Mittelklasse leisten, obschon ihr solche Kosten in ihrem Bedarf von der Vorin- stanz nicht zugebilligt wurden. Ausserdem dürften die Kosten für die Verkehrsab- gaben, die Motorfahrzeugversicherung und die Leasingraten durch den Erwerb</w:t>
      </w:r>
    </w:p>
    <w:p>
      <w:r>
        <w:t>- 12 - des neuen Fahrzeuges gestiegen sein, wie dies bereits im vorinstanzlichen Ent- scheid erwogen worden und vorliegend unbestritten geblieben ist (vgl. Urk. 2 S. 9 f. E. II.2.2.3). Auch diese Mehrbelastung scheint die Beklagte unbekümmert ge- lassen zu haben. Weiter wurde von der Beklagten vor Vorinstanz weder der Be- darf für den Besitz und Gebrauch eines Personenwagens noch die Notwendigkeit für die Neuanschaffung und Mehrbelastung ansatzweise dargetan. Bezeichnen- derweise hat sie bis heute auch den offenbar Ende April 2015 abgeschlossenen Leasingvertrag nicht ins Recht gelegt. Immerhin kann aufgrund des unbestrittenen Vertragsabschlusses auf eine positive Bonitätsprüfung geschlossen werden. Fer- ner indiziert die tiefe Leasingrate des im Neupreis in der Grundausstattung ge- genüber dem früheren um das Doppelte teureren Fahrzeugs (∼ Fr. 20'000.– vs. ∼ Fr. 40'000.–, vgl. www. audi.ch, eingesehen am 17. Mai 2017) überdies, dass im Zusammenhang mit dem Vertragsabschluss eine Anzahlung im fünfstelligen Be- reich notwendig gewesen sein muss. Diesen Leasingvertrag hätte die Beklagte vorlegen müssen. Nichtsdestotrotz erfolgte die Neuanschaffung, die Verpflichtung zur Bezahlung von Leasingraten und die Inkaufnahme einer Mehrbelastung zwi- schen ihrer Eingabe vom 15. Dezember 2014 und pendentem nämlichen Gesuch sowie dem Abweisungsentscheid der Vorinstanz vom 16. Juni 2015, mithin wäh- rend dem damals laufendem Verfahren und in einer Zeit, in welcher sie damit rechnen musste, kostenpflichtig zu werden. 5.5 Nach dem Gesagten kann der Beklagten im Ergebnis in Übereinstimmung mit der Vorinstanz keine (prozessuale) Mittellosigkeit bescheinigt werden. Die Vorinstanz hat ihren Antrag auf Leistung eines Prozesskostenvorschusses durch den Kläger sowie ihren Eventualantrag auf Gewährung der unentgeltlichen Rechtspflege zu Recht abgewiesen. Damit erweisen sich die Beschwerden sofort als unbegründet, weshalb sie abzuweisen sind. 6.1 Die Gerichtskosten für das zweitinstanzliche Verfahren sind in Anwendung von § 12 Abs. 1 und 2 GebV OG in Verbindung mit § 9 Abs. 1 GebV OG auf Fr. 1'000.– festzusetzen und aufgrund des Ausgangs des Verfahrens der Beklag- ten aufzuerlegen (Art. 106 Abs. 1 ZPO).</w:t>
      </w:r>
    </w:p>
    <w:p>
      <w:r>
        <w:t>- 13 - 6.2 Parteientschädigungen sind für das Beschwerdeverfahren keine zuzuspre- chen, der Beklagten zufolge ihres Unterliegens (Art. 106 Abs. 1 ZPO), dem Kläger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