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PC170004 vom 16. Februar 2017</w:t>
      </w:r>
    </w:p>
    <w:p>
      <w:r>
        <w:t>ZH Obergericht, 2017-02-16, DE</w:t>
      </w:r>
    </w:p>
    <w:p>
      <w:r>
        <w:rPr>
          <w:b/>
        </w:rPr>
        <w:t xml:space="preserve">Quelle: </w:t>
      </w:r>
      <w:r>
        <w:t>https://mcp.opencaselaw.ch/entscheid/zh_obergericht_PC170004</w:t>
      </w:r>
    </w:p>
    <w:p>
      <w:r>
        <w:t>FR: ZH_OBERGERICHT PC170004 du 16 février 2017</w:t>
      </w:r>
    </w:p>
    <w:p>
      <w:r>
        <w:t>IT: ZH_OBERGERICHT PC170004 del 16 febbraio 2017</w:t>
      </w:r>
    </w:p>
    <w:p>
      <w:pPr>
        <w:pStyle w:val="Heading2"/>
      </w:pPr>
      <w:r>
        <w:t>Erwägungen</w:t>
      </w:r>
    </w:p>
    <w:p>
      <w:r>
        <w:rPr>
          <w:b/>
        </w:rPr>
        <w:t>E. 1</w:t>
      </w:r>
    </w:p>
    <w:p>
      <w:r>
        <w:t>Auf die Anträge der Beklagten auf Verpflichtung des Klägers zur Erstel- lung eines Inventars sowie zur Schätzung des Verkehrswerts der C._____ AG wird nicht eingetreten.</w:t>
      </w:r>
    </w:p>
    <w:p>
      <w:r>
        <w:rPr>
          <w:b/>
        </w:rPr>
        <w:t>E. 2</w:t>
      </w:r>
    </w:p>
    <w:p>
      <w:r>
        <w:t>Die Entscheidgebühr wird festgesetzt auf Fr. 1'750.–.</w:t>
      </w:r>
    </w:p>
    <w:p>
      <w:r>
        <w:rPr>
          <w:b/>
        </w:rPr>
        <w:t>E. 3</w:t>
      </w:r>
    </w:p>
    <w:p>
      <w:r>
        <w:t>Die Kosten werden der Beklagten auferlegt.</w:t>
      </w:r>
    </w:p>
    <w:p>
      <w:r>
        <w:rPr>
          <w:b/>
        </w:rPr>
        <w:t>E. 4</w:t>
      </w:r>
    </w:p>
    <w:p>
      <w:r>
        <w:t>Auf Zusprechung einer Parteientschädigung wird verzichtet.</w:t>
      </w:r>
    </w:p>
    <w:p>
      <w:r>
        <w:rPr>
          <w:b/>
        </w:rPr>
        <w:t>E. 5</w:t>
      </w:r>
    </w:p>
    <w:p>
      <w:r>
        <w:t>Schriftliche Mitteilung mit nachfolgender Verfügung.</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nicht vermögensrechtliche Angelegenheit. Die Beschwerde an das Bundesgericht hat keine aufschiebende Wirkung. Hinsichtlich des Fristenlaufs gelten die Art. 44 ff. BGG.</w:t>
      </w:r>
    </w:p>
    <w:p>
      <w:r>
        <w:t>- 5 - Zürich, 16. Februar 2017 Obergericht des Kantons Zürich I. Zivilkammer Der Gerichtsschreiber: lic. iur. F. Rieke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