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PC160053 vom 10. Januar 2017</w:t>
      </w:r>
    </w:p>
    <w:p>
      <w:r>
        <w:t>ZH Obergericht, 2017-01-10, DE</w:t>
      </w:r>
    </w:p>
    <w:p>
      <w:r>
        <w:rPr>
          <w:b/>
        </w:rPr>
        <w:t xml:space="preserve">Quelle: </w:t>
      </w:r>
      <w:r>
        <w:t>https://mcp.opencaselaw.ch/entscheid/zh_obergericht_PC160053</w:t>
      </w:r>
    </w:p>
    <w:p>
      <w:r>
        <w:t>FR: ZH_OBERGERICHT PC160053 du 10 janvier 2017</w:t>
      </w:r>
    </w:p>
    <w:p>
      <w:r>
        <w:t>IT: ZH_OBERGERICHT PC160053 del 10 gennaio 2017</w:t>
      </w:r>
    </w:p>
    <w:p>
      <w:pPr>
        <w:pStyle w:val="Heading2"/>
      </w:pPr>
      <w:r>
        <w:t>Erwägungen</w:t>
      </w:r>
    </w:p>
    <w:p>
      <w:r>
        <w:rPr>
          <w:b/>
        </w:rPr>
        <w:t>E. 1</w:t>
      </w:r>
    </w:p>
    <w:p>
      <w:r>
        <w:t>A._____ und B._____ sind seit dem tt. März 2009 verheiratet. Die Ehegatten haben eine gemeinsame Tochter, C._____ (geb. 2011).</w:t>
      </w:r>
    </w:p>
    <w:p>
      <w:r>
        <w:rPr>
          <w:b/>
        </w:rPr>
        <w:t>E. 2</w:t>
      </w:r>
    </w:p>
    <w:p>
      <w:r>
        <w:t>Nachdem A._____ am 11. Februar 2014 eine separate Klage hinsichtlich der güterrechtlichen Auseinandersetzung eingereicht hatte, reichte er am 4. Juli 2014 die Scheidungsklage beim Bezirksgericht Zürich, 3. Abteilung, ein. Am 7. Januar 2016 ersuchte er darum, über den Scheidungspunkt ein Teilurteil zu fällen und in Gutheissung von Klage und Widerklage die Ehe sofort zu scheiden, da er seine erste Ehefrau wieder heiraten wolle. Das Bezirksgericht wies das Gesuch am</w:t>
      </w:r>
    </w:p>
    <w:p>
      <w:r>
        <w:rPr>
          <w:b/>
        </w:rPr>
        <w:t>E. 4</w:t>
      </w:r>
    </w:p>
    <w:p>
      <w:r>
        <w:t>Die Vorinstanz hat in E. 4.2.1 ihres Entscheides vom Mai 2016 darauf hinge- wiesen, dass die bisherige Verfahrensdauer von (damals) rund zwei Jahren einer- seits auf die Verfahrensführung der Parteien (Massnahmenbegehren, Novenein- gaben, Rechtsmittelverfahren) und anderseits auf die Komplexität und den Um- fang des Falles zurückzuführen sei. Ferner sei das Verfahren bereits weit fortge- schritten, da die Frist zur Erstattung der Duplik bereits laufe. Ob ein Beweisver- fahren nötig sein werde, stehe entgegen der Ansicht des Klägers noch nicht fest.</w:t>
      </w:r>
    </w:p>
    <w:p>
      <w:r>
        <w:t>- 3 -</w:t>
      </w:r>
    </w:p>
    <w:p>
      <w:r>
        <w:rPr>
          <w:b/>
        </w:rPr>
        <w:t>E. 5</w:t>
      </w:r>
    </w:p>
    <w:p>
      <w:r>
        <w:t>Die Frage, ob der Scheidungspunkt liquid ist, sich aber die Auseinandersetzung über die Scheidungsfolgen stark in die Länge zieht, ist von der Vorinstanz zu be- antworten. Einzig sie kann anhand des aktuellen Verfahrensstands des Schei- dungsverfahrens (welcher der Kammer nicht bekannt ist) und anhand der weite- ren, vor ihr durchzuführenden Verfahrensschritte (z.B. Verhandlungen, Beweis- massnahmen) beurteilen, ob sich das Verfahren zur Regelung der Nebenfolgen mutmasslich stark in die Länge ziehen wird. Der vorinstanzliche Entscheid ist daher aufzuheben und die Sache zur ergänzenden Feststellung und neuen Ent- scheidung an die Vorinstanz zurückzuweisen. Diese wird die Erwägungen des Bundesgerichts berücksichtigen und wohl auch die Rechtsprechung des EGMR zu diesem Thema (etwa EGMR Wildgruber c. Germany vom 29. Januar 2008, 42402/05 und 42423/05).</w:t>
      </w:r>
    </w:p>
    <w:p>
      <w:r>
        <w:rPr>
          <w:b/>
        </w:rPr>
        <w:t>E. 6</w:t>
      </w:r>
    </w:p>
    <w:p>
      <w:r>
        <w:t>Die Regelung der Prozesskosten des vorliegenden Verfahrens wird dem neuen Entscheid des Bezirksgerichts vorbehalten. Die Entscheidgebühr für das Verfah- ren vor der Kammer wird in Anwendung von § 12 Abs. 1 und 2 i.V.m. § 6 Abs. 1, § 5 Abs. 1 und § 10 Abs. 1 GebV OG auf Fr. 1'000.– festgesetzt.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