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PC160050 vom 23. Februar 2017</w:t>
      </w:r>
    </w:p>
    <w:p>
      <w:r>
        <w:t>ZH Obergericht, 2017-02-23, DE</w:t>
      </w:r>
    </w:p>
    <w:p>
      <w:r>
        <w:rPr>
          <w:b/>
        </w:rPr>
        <w:t xml:space="preserve">Quelle: </w:t>
      </w:r>
      <w:r>
        <w:t>https://mcp.opencaselaw.ch/entscheid/zh_obergericht_PC160050</w:t>
      </w:r>
    </w:p>
    <w:p>
      <w:r>
        <w:t>FR: ZH_OBERGERICHT PC160050 du 23 février 2017</w:t>
      </w:r>
    </w:p>
    <w:p>
      <w:r>
        <w:t>IT: ZH_OBERGERICHT PC160050 del 23 febbraio 2017</w:t>
      </w:r>
    </w:p>
    <w:p>
      <w:pPr>
        <w:pStyle w:val="Heading2"/>
      </w:pPr>
      <w:r>
        <w:t>Erwägungen</w:t>
      </w:r>
    </w:p>
    <w:p>
      <w:r>
        <w:rPr>
          <w:b/>
        </w:rPr>
        <w:t>E. 11</w:t>
      </w:r>
    </w:p>
    <w:p>
      <w:r>
        <w:t>März 2015 lediglich Gelegenheit gegeben worden sei, zur Befragung seiner Tochter Stellung zu nehmen. Er habe darauf verzichtet, da er grösstenteils mit den Aussagen der Tochter einverstanden gewesen sei. Er habe auf eine weitere Stellungnahme zur Sache verzichtet, da eine zweite Anhörung ohnehin gesetzlich vorgesehen sei. Dieser 2. Termin sei indes nie einberufen worden. Sodann sei in der Anklageschrift vom 17. September 2015 bei seinem Status "getrennt" aufge- führt worden und er habe dies auch – in der Meinung, dass dem so sei – anläss- lich der persönlichen Befragung vor dem Strafgericht im Januar 2016 so ausge- führt. Es sei für ihn nicht nachvollziehbar, dass im Zeitalter der Computer- Vernetzung Staatsanwaltschaft oder Bezirksgericht nicht gewusst hätten, dass er zu jenem Zeitpunkt bereits geschieden gewesen sei (Urk. 7 S. 2 f.). 2.3.1 Diese Einwendungen gehen fehl. Sofern der Gesuchsgegner vorbrin- gen will, dass die Rechtskraft des Scheidungsurteils vom 26. Mai 2015 mangels gehöriger Eröffnung noch nicht habe eintreten können, ist ihm mit der Vorinstanz entgegenzuhalten, dass die Zustellung an die dem Gericht zuletzt bekannte Ad- resse gültig ist und die Sendung als am siebten Tag nach dem erfolglosen Zustel- lungsversuch als zugestellt gilt, sofern die Person mit einer Zustellung rechnen musste (Art. 138 Abs. 3 lit. a ZPO). Der Gesuchsteller wurde sowohl mit der Vor- ladung vom 21. Februar 2014 zur Einigungsverhandlung auf den 14. April 2014 als auch mit der Vorladung vom 17. September 2014 zur Hauptverhandlung auf</w:t>
      </w:r>
    </w:p>
    <w:p>
      <w:r>
        <w:t>- 5 - den 3. Dezember 2014 auf die Pflicht zur Meldung allfälliger Adressänderungen mit der Androhung hingewiesen, dass andernfalls Zustellungen an die letztbe- kannte Adresse rechtswirksam seien (Urk. 4/4 S. 3 Ziff. 11; Urk. 4/15 S. 2 Ziff. 8). Sodann wurde er mit Verfügung vom 11. März 2015 erneut darauf hingewiesen, dass er dem Gericht eine Adressänderung mitzuteilen habe, ansonsten zukünftig Zustellungen rechtsgültig an die letzte, dem Gericht bekannte Adresse erfolgen würden (Urk. 4/37 S. 2). Diese Verfügung wurde – ebenso wie bereits die Verfü- gung vom 9. Februar 2015 (Urk. 4/30/2) – an die Adresse "A._____, … [Adresse]" versandt und vom Gesuchsteller persönlich in Empfang genommen (Urk. 4/30/2; Urk. 4/39). Das Urteil des Einzelgerichts im ordentlichen Verfahren am Bezirksge- richt Zürich vom 26. Mai 2015 wurde wiederum an diese Adresse versandt, indes wurde die Sendung nicht abgeholt (Urk. 4/49). Der Gesuchsteller bringt zu Recht nicht vor, keine Kenntnis vom Verfahren gehabt zu haben, nachdem er an der Ei- nigungsverhandlung vom 14. April 2014 und an der Hauptverhandlung vom 3. Dezember 2014 persönlich teilgenommen (Prot. FE140091-L S. 3 f. und S. 7 ff.) und sich mit Eingaben vom 22. März 2014 sowie vom 3. Dezember 2014 an die Vorinstanz gerichtet hat (Urk. 4/6; Urk. 4/21). Nachdem der Gesuchsteller nach dem Gesagten mit Zustellungen des Gerichts rechnen musste, der Zustellungs- versuch am 11. Juni 2015 erfolgt ist, gilt das Scheidungsurteil am 18. Juni 2015 als zugestellt. Entsprechend endete die 10-tägige Begründungsfrist gemäss Art. 239 Abs. 2 ZPO (vgl. die zutreffende Belehrung im angefochtenen Entscheid, Urk. 18 S. 5) am 29. Juni 2015 und das Scheidungsurteil ist seit dem 30. Juni 2015 rechtskräftig. Insbesondere irrt der Gesuchsteller, wenn er anführt, die Vorinstanz hätte ihm nach der telefonischen Kontaktaufnahme durch einen Sozialarbeiter das Ur- teil erneut zustellen müssen, dieses Mal per Einschreiben ins Gefängnis. Eine solche Pflicht existiert mit Blick auf Art. 138 Abs. 3 ZPO gerade nicht. 2.3.2 Da die sechsmonatige Frist gemäss Art. 148 Abs. 3 ZPO bei Stellung des Wiederherstellungsgesuchs abgelaufen war, ist es unerheblich, ob den Ge- suchsteller ein Verschulden daran trifft, dass er die Begründungsfrist ungenutzt verstreichen liess. Die Frage des Verschuldens wäre lediglich dann zu prüfen ge-</w:t>
      </w:r>
    </w:p>
    <w:p>
      <w:r>
        <w:t>- 6 - wesen, wenn der Gesuchsteller sein Wiederherstellungsgesuch innert sechsmo- natiger Frist nach Eintritt der Rechtskraft des Scheidungsurteils gestellt hätte, was ihm – gemäss eigenen Angaben – auch möglich gewesen wäre, da er selber aus- führt, von der Existenz des Scheidungsurteils im Herbst 2015 (vgl. Urk. 2; Urk. 10/1) Kenntnis erhalten zu haben. Lediglich der Vollständigkeit halber bleibt der Gesuchsteller schliesslich darauf hinzuweisen, dass diese Regelung (wonach die Wiederherstellung nur innerhalb von sechs Monaten seit Eintritt der Rechts- kraft verlangt werden kann) gesetzlich verankert ist und damit keinesfalls nichtig bzw. willkürlich ist. 2.3.3 Die vom Gesuchsteller weiter vorgebrachten Argumente, wonach eine zweite Verhandlung hätte stattfinden sollen, weshalb er nicht mit der Zustellung des Scheidungsurteils habe rechnen müssen, zielen ins Leere: Weder ist eine zweite Anhörung im Gesetz vorgeschrieben, noch hat die Einzelrichterin im dama- ligen Scheidungsverfahren anlässlich der Verhandlung vom 3. Dezember 2014 einen weiteren Verhandlungstermin in Aussicht gestellt; vielmehr hat sie die Par- teien darauf hingewiesen, dass im Weiteren die Tochter angehört, den Parteien das Anhörungsprotokoll zur schriftlichen Stellungnahme zugestellt und schliess- lich aufgrund der Akten der Entscheid gefällt werde. Allenfalls müsse sie damit noch zuwarten, bis sämtliche notwendigen Unterlagen bezüglich der Pensions- kasse dem Gericht eingereicht worden seien (Geschäfts Nr. FE140091-L, Prot. S. 28). Damit kann der Gesuchsteller aus diesem Einwand nicht ableiten, er habe nicht mit der Zustellung eines Entscheides rechnen müssen. 2.3.4 Abschliessend bleibt mit der Vorinstanz daran festzuhalten, dass kein automatischer Datenaustausch zwischen den Strafverfolgungsbehörden und den Zivilgerichten stattfindet – es ist Sache der Parteien, ihren korrekten Zivilstand der jeweiligen Behörde bekannt zu geben. 2.4 Damit erweist sich die Beschwerde als offensichtlich unbegründet, weshalb auf das Einholen einer Beschwerdeantwort der Gegenpartei verzichtet werden kann (Art. 322 Abs. 1 ZPO). Die Beschwerde ist abzuweisen.</w:t>
      </w:r>
    </w:p>
    <w:p>
      <w:r>
        <w:t>- 7 - 3.1 Die Entscheidgebühr für das Beschwerdeverfahren ist in Anwendung von § 12 Abs. 1 und 2 GebV OG in Verbindung mit § 5 und 6 GebV OG auf Fr. 500.– festzusetzen. Dem unterliegenden Gesuchsteller sind die Gerichtskos- ten des Beschwerdeverfahrens aufzuerlegen. 3.2 Der Gesuchsgegnerin ist mangels relevanter Umtriebe im Beschwer- deverfahren keine Parteientschädigung zuzusprechen (vgl.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