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PC160048 vom 13. Dezember 2016</w:t>
      </w:r>
    </w:p>
    <w:p>
      <w:r>
        <w:t>ZH Obergericht, 2016-12-13, DE</w:t>
      </w:r>
    </w:p>
    <w:p>
      <w:r>
        <w:rPr>
          <w:b/>
        </w:rPr>
        <w:t xml:space="preserve">Quelle: </w:t>
      </w:r>
      <w:r>
        <w:t>https://mcp.opencaselaw.ch/entscheid/zh_obergericht_PC160048</w:t>
      </w:r>
    </w:p>
    <w:p>
      <w:r>
        <w:t>FR: ZH_OBERGERICHT PC160048 du 13 décembre 2016</w:t>
      </w:r>
    </w:p>
    <w:p>
      <w:r>
        <w:t>IT: ZH_OBERGERICHT PC160048 del 13 dicembre 2016</w:t>
      </w:r>
    </w:p>
    <w:p>
      <w:pPr>
        <w:pStyle w:val="Heading2"/>
      </w:pPr>
      <w:r>
        <w:t>Erwägungen</w:t>
      </w:r>
    </w:p>
    <w:p>
      <w:r>
        <w:rPr>
          <w:b/>
        </w:rPr>
        <w:t>E. 1</w:t>
      </w:r>
    </w:p>
    <w:p>
      <w:r>
        <w:t>Die Parteien stehen sich vor dem Einzelgericht des Bezirksgerichtes Horgen in einem Scheidungsverfahren gegenüber. Mit Verfügung vom 31. Mai 2016 wies das Einzelgericht ein Gesuch des Beklag- ten um Bewilligung der unentgeltlichen Rechtspflege ab (act. 7/162 Disp. 6). Am 14. Oktober 2016 wies das Einzelgericht das vom Beklagten mit der Kla- geantwort vom 11. Juli 2016 gestellte Gesuch um Zusprechung eines Prozess- kostenvorschusses ab (act. 7/182 = act. 8, Disp. 1). Unter dem gleichen Datum erliess das Einzelgericht die Beweisverfügung. Es setzte dem Beklagten eine 20-tägige Frist an, um die Kosten der Beweiserhebun- gen (Gutachten) mit einem Barvorschuss von Fr. 3'000.– sicherzustellen, ansons- ten die von ihm beantragte Beweiserhebung unterbleibe, es sei denn die Gegen- partei schiesse die Kosten vor. Es wies darauf hin, dass mit einer Erstreckung der Frist nur einmal, nur kurz und nur unter Nachweis ausgewiesener Gründe zu rechnen sei (act. 7/183 = act. 9, Disp. 10). Mit Verfügung vom 2. November 2016 wies das Einzelgericht ein Gesuch des Be- klagten um Wiedererwägung der Auflage des Barvorschusses ab und erstreckte die Frist zur Leistung desselben letztmals bis 31. Dezember 2016 (act. 7/201 i.V.m. act. 7/200).</w:t>
      </w:r>
    </w:p>
    <w:p>
      <w:r>
        <w:rPr>
          <w:b/>
        </w:rPr>
        <w:t>E. 2</w:t>
      </w:r>
    </w:p>
    <w:p>
      <w:r>
        <w:t>Der Beklagte macht geltend, nicht in der Lage zu sein, den Vorschuss zu leis- ten (act. 2 Ziff. 10, 18 ff.). Der Vorinstanz habe klar sein müssen, dass ihm dies nicht möglich sein würde (act. 2 Ziff. 21). Sie verlange, was nach ihrer eigenen, in der Verfügung über den Prozesskostenvorschuss geäusserten Rechtsauffassung unmöglich zu erbringen sei: die Zahlung eines Vorschusses von Fr. 3'000.– innert 20 Tagen bzw. kurz erstreckter Frist bei einem monatlich über das betreibungs- rechtliche Existenzminimum hinaus zur Verfügung stehenden Betrag von Fr. 1'200.–, welcher überdies dazu dienen solle, die aufgelaufenen und laufenden Anwaltskosten zu zahlen. Die Anordnung sei schlicht willkürlich. Werde ihm eine Frist zur Leistung eines Vorschusses angesetzt, die er gar nicht einhalten könne, werde ihm der Zugang zum Beweis verweigert, worauf er nach Art. 152 ZPO An- spruch habe (act. 2 Ziff. 24, 26).</w:t>
      </w:r>
    </w:p>
    <w:p>
      <w:r>
        <w:rPr>
          <w:b/>
        </w:rPr>
        <w:t>E. 3</w:t>
      </w:r>
    </w:p>
    <w:p>
      <w:r>
        <w:t>Der Vorschuss im Sinne von Art. 102 Abs. 1 ZPO ist nach Massgabe der zu erwartenden Auslagen des Gerichts festzusetzen. Die finanziellen Verhältnisse der Partei sind nicht relevant. Einer nicht über genügend finanzielle Mittel verfü- genden Partei wird die Durchsetzung ihrer Rechte mit dem Anspruch auf unent- geltliche Rechtspflege nach Art. 29 Abs. 3 BV und Art. 117 ff. ZPO ermöglicht (vgl. Art. 118 Abs. 1 lit. a ZPO). Über diesen prozessualen Anspruch entscheidet aber auf Gesuch hin das mit der Sache befasste Gericht, nicht die mit einem Rechtsmittel gegen die Auflage eines Barvorschusses befasste Oberinstanz. Die Befreiung von der Vorschusspflicht kommt daher nicht in Betracht.</w:t>
      </w:r>
    </w:p>
    <w:p>
      <w:r>
        <w:rPr>
          <w:b/>
        </w:rPr>
        <w:t>E. 4</w:t>
      </w:r>
    </w:p>
    <w:p>
      <w:r>
        <w:t>Dem Beklagten ist insoweit Recht zu geben, als der Entscheid über den ehe- rechtlichen Anspruch auf Prozesskostenvorschuss und der Entscheid betreffend den Beweiskostenvorschuss in einem Zusammenhang stehen. Bei der Bemes-</w:t>
      </w:r>
    </w:p>
    <w:p>
      <w:r>
        <w:t>- 4 - sung der Frist zur Bevorschussung der Beweiserhebungskosten war den im Ent- scheid über den Prozesskostenvorschuss angestellten Überlegungen Rechnung zu tragen. Die gesetzte Frist von 20 Tagen erscheint vor diesem Hintergrund zu kurz. Das hat die Vorinstanz in der Verfügung vom 2. November 2016 mit der Ver- längerung der Frist bis 31. Dezember 2016 nachträglich korrigiert.</w:t>
      </w:r>
    </w:p>
    <w:p>
      <w:r>
        <w:rPr>
          <w:b/>
        </w:rPr>
        <w:t>E. 5</w:t>
      </w:r>
    </w:p>
    <w:p>
      <w:r>
        <w:t>Die Beschwerde ist deshalb zwar im Ergebnis abzuweisen. Auf die Erhebung von Kosten ist nach dem Gesagten jedoch zu verzichten (Art. 107 Abs. 2 ZPO). Eine Entschädigung ist der Klägerin mangels erheblicher Umtriebe nicht zuzu- sprechen.</w:t>
      </w:r>
    </w:p>
    <w:p>
      <w:r>
        <w:rPr>
          <w:b/>
        </w:rPr>
        <w:t>E. 6</w:t>
      </w:r>
    </w:p>
    <w:p>
      <w:r>
        <w:t>Was das Rechtsmittel der Beschwerde an das Bundesgericht betrifft, dürfte, wenn von einer vermögensrechtlichen Streitigkeit auszugehen ist – es geht bei dem zu bevorschussenden Gutachten um die finanziellen Folgen der Eheschei- dung –, ein Fr. 30'000.– erreichender Streitwert anzunehmen sein (vgl. Art. 74 BGG).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