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PC160032 vom 6. Juli 2016</w:t>
      </w:r>
    </w:p>
    <w:p>
      <w:r>
        <w:t>ZH Obergericht, 2016-07-06, DE</w:t>
      </w:r>
    </w:p>
    <w:p>
      <w:r>
        <w:rPr>
          <w:b/>
        </w:rPr>
        <w:t xml:space="preserve">Quelle: </w:t>
      </w:r>
      <w:r>
        <w:t>https://mcp.opencaselaw.ch/entscheid/zh_obergericht_PC160032</w:t>
      </w:r>
    </w:p>
    <w:p>
      <w:r>
        <w:t>FR: ZH_OBERGERICHT PC160032 du 6 juillet 2016</w:t>
      </w:r>
    </w:p>
    <w:p>
      <w:r>
        <w:t>IT: ZH_OBERGERICHT PC160032 del 6 luglio 2016</w:t>
      </w:r>
    </w:p>
    <w:p>
      <w:pPr>
        <w:pStyle w:val="Heading2"/>
      </w:pPr>
      <w:r>
        <w:t>Erwägungen</w:t>
      </w:r>
    </w:p>
    <w:p>
      <w:r>
        <w:rPr>
          <w:b/>
        </w:rPr>
        <w:t>E. 31</w:t>
      </w:r>
    </w:p>
    <w:p>
      <w:r>
        <w:t>März 2016 wurde B._____ zurück in die Stiftung E._____ entlassen (Urk. 5/140/2). 1.6 Anlässlich der Verhandlung vom 11. April 2016 schlossen die Parteien hinsichtlich der vom Kläger beantragten Reduktion der Unterhaltsbeiträge eine Vereinbarung. Sodann zog die Beklagte ihre Anträge um Erlass vorsorglicher Massnahmen betreffend Obhutszuteilung und Aufhebung der Beistandschaft zu- rück, hielt aber an ihrem Antrag um Anordnung vorsorglicher Massnahmen betref- fend Regelung des Kontaktes zu B._____ fest (Urk. 5/145). Diese Vereinbarung wurde mit Verfügung und Teilurteil vom 11. April 2016 genehmigt und das Verfah- ren im Umfang der erfolgten Rückzüge abgeschrieben (Urk. 5/148). Mit Schreiben vom 19. bzw. 25. April 2016 ging seitens der Vorinstanz ein Vorschlag betreffend Besuchsrecht für die Beklagte an die Beiständin von B._____, den Kindesvertre-</w:t>
      </w:r>
    </w:p>
    <w:p>
      <w:r>
        <w:t>- 5 - ter von B._____ und an die Parteien (Urk. 5/153/1-3; Urk. 5/158-159). Am 28. Ap- ril 2016 erfolgten telefonische Kontakte zwischen den jeweiligen Parteivertretern und der Vorinstanz betreffend Vergleichsvorschlag (Urk. 5/163). Am 19. Mai 2016 ersuchte die Vorderrichterin den beklagtischen Rechtsvertreter erneut um eine Stellungnahme zum Vergleichsvorschlag bezüglich Besuchs- und Telefonkontakte der Beklagten zu B._____ (Urk. 5/169). Am 24. Mai 2016 teilte die Beklagte tele- fonisch mit, dass sie den Vorschlag des Gerichts nicht unterzeichnen werde (Urk. 5/171). 1.7 Mit Schreiben vom 23. Mai 2016 (gleichentags zur Post gegeben, ein- gegangen am 24. Mai 2016) reichte die Beklagte eine Rechtsverzögerungsbe- schwerde ein und stellte folgende Anträge (Urk. 1 S. 1 und 3): "Es sei meinem Kind und mir der ungestörte telefonische und persönliche Kontakt zu ge- währen soweit es nicht sofort nach Hause gehen kann. Es soll mein fast erwachsener Sohn jederzeit in seine Wohnung und sein Jugendzimmer (und) sein Leben, seine Wochenenden und seine Ferien mit seiner Mutter verbringen können. Eventuell sei dem Kind und mir ein altersgerechtes und von meinem Sohn und mir ge- wünschtes und mit der Bundesverfassung und der EMRK vorgeschriebenes Besuch- und Kontaktrecht zu ermöglichen. Die verhasste, mit mir und dem Kind völlig zerstrittene Beistandschaft sei umgehend aufzu- heben. Der Kinderunterhalt (sei) wegen Nötigung und Zwang ab 1. Mai 2016 wieder an die Mutter zu überweisen." 2. Die vorinstanzlichen Akten wurden beigezogen. 3.1 Die Beklagte führt u.a. aus, dass der Geschäftsführer der Stiftung E._____ den Taschengeldbeitrag für B._____ von Fr. 100.– pro Monat nicht kor- rekt abrechne (Urk. 1 S. 2). Soweit sie damit eine Aufsichtsbeschwerde erheben will, ist darauf mangels Zuständigkeit nicht einzutreten. 3.2 Soweit sich die Beklagte gegen die mit Teilurteil vom 11. April 2016 genehmigte Vereinbarung bezüglich Unterhaltsbeiträge stellt, ist auf ihre Eingabe</w:t>
      </w:r>
    </w:p>
    <w:p>
      <w:r>
        <w:t>- 6 - infolge Verspätung nicht einzutreten. Hiergegen hätte der Beklagten das Rechts- mittel der Berufung offengestanden; diese wäre jedoch innert der 30-tägigen Be- rufungsfrist (Datum Fristablauf: 19. Mai 2016) zu erheben gewesen. Damit ist da- rauf ebenso wenig einzutreten. 4.1 Mit der Beschwerde kann Rechtsverzögerung geltend gemacht werden (Art. 319 lit. c ZPO). Darunter ist eine Rechtsverweigerung in formeller Hinsicht zu verstehen, d.h. dass ein (anfechtbarer) Entscheid vom dazu berufenen Gericht nicht gefällt wird, obwohl er gefällt werden könnte. Dabei ist der Gestaltungsspiel- raum des Gerichts, dem die Verfahrensleitung zusteht, zu berücksichtigen, wes- halb eine eigentliche Pflichtverletzung und damit in diesem Sinne eine Rechtsver- zögerung nur in klaren Fällen angenommen werden sollte (Freiburghaus/Afheldt in: Sutter-Somm/Hasenböhler/Leuenberger, ZPO-Komm., 3. A., Art. 320 N 7 und Art. 319 N 17). Wenn derart schliesslich eine Rechtsverzögerung bejaht wird, kann die Beschwerdeinstanz weder einen vorinstanzlichen Entscheid aufheben – einen solchen gibt es gerade nicht –, noch kann sie anstelle der Vorinstanz in der Sache selbst entscheiden; hierfür fehlt ihr die Zuständigkeit und den Parteien würde eine Instanz beschnitten. Die Beschwerdeinstanz kann einzig der Vor- instanz die Anweisung erteilen, den zu Unrecht verzögerten Entscheid zu erlas- sen, und sie kann der Vorinstanz hierfür eine Frist ansetzen (Freiburg- haus/Afheldt, a.a.O., Art. 327 N 15 ff.). 4.2 Soweit die Beklagte erneut den Antrag stellt, es sei ihr und B._____ der ungestörte telefonische und persönliche Kontakt zu gewähren, soweit er nicht so- fort nach Hause gehen könne, und es sei die Beistandschaft aufzuheben, ist nach dem Gesagten darauf nicht einzutreten. 4.3.1 Wie ausgeführt, war der Sohn B._____ vom 14. Dezember 2015 bis zum 31. März 2016 durch den KJPD fürsorgerisch untergebracht. Während dieser Zeit war den Eltern – so auch auf Weiteres – das Aufenthaltsbestimmungsrecht gestützt auf Art. 310 ZGB entzogen. Sodann fanden während dieser Zeit Besuche zwischen den jeweiligen Elternteilen und B._____ statt. Mit Verfügung vom 4. März 2016 wurde das Gesuch der Beklagten um Anordnung superprovisori-</w:t>
      </w:r>
    </w:p>
    <w:p>
      <w:r>
        <w:t>- 7 - scher Massnahmen bezüglich unbeschränkten Kontakts zwischen ihr und B._____ vom 25. Februar 2016 abgewiesen und festgehalten, dass dieses an- lässlich der auf den 11. April 2016 angesetzten Verhandlung behandelt werde. Nachdem anlässlich dieser Verhandlung hinsichtlich der Regelung des Kontaktes zwischen der Beklagten und B._____ keine Einigung erzielt werden konnte, wur- de nach einer Lösung zur Umsetzung eines Besuchsrechts gesucht, welches den Berichten von KJPD und der Stiftung E._____, die sich beide für ein therapeutisch begleitetes Kontaktrecht der Beklagten zu B._____ aussprachen – Rechnung tra- gen sollte (Urk. 5/146; Urk. 5/152/1-4). Mit Schreiben vom 19. bzw. 25. April 2016 wurde den Parteien – wie erwähnt – ein entsprechender Vorschlag unterbreitet (Urk. 5/153/1-3; Urk. 5/154-155). Während die übrigen Parteien – abgesehen von einer minimalen Änderung – einverstanden waren, ersuchte die Beklagte mit Schreiben vom 26. April 2016 um eine weitergehende Anpassung der Vereinba- rung (Urk. 5/162). Dies zog weitere Abklärungen und Anpassungen nach sich (Urk. 5/163-164). Am 19. Mai 2016 wurde der beklagtische Rechtsvertreter um ei- ne abschliessende Stellungnahme zum Lösungsvorschlag ersucht (Urk. 5/169), welche die Beklagte am 24. Mai 2016 telefonisch mitteilte (Urk. 5/171). 4.3.2 Nach dem hier Ausgeführten stellt es keine Rechtsverweigerung oder -verzögerung dar, dass die Vorinstanz in dieser Situation noch keinen formellen Entscheid über den Massnahmeantrag der Beklagten gefällt hat. Es ist ohne wei- teres davon auszugehen, dass ein solch formeller Entscheid in Kürze ergehen wird. Daher ist der Vorinstanz im heutigen Zeitpunkt keine Frist zum Erlass eines anfechtbaren Entscheids über den Massnahmeantrag der Beklagten betreffend Regelung des Kontaktrechts anzusetzen. Die Beschwerde der Beklagten erweist sich demnach als unbegründet und ist abzuweisen, soweit darauf einzutreten ist. 4.4 Damit erweist sich die Beschwerde als offensichtlich unzulässig bzw. unbegründet, weshalb auf das Einholen der Beschwerdeantwort der Gegenpartei verzichtet werden kann (Art. 322 Abs. 1 ZPO). 5.1 Für das Beschwerdeverfahren ist von einer nicht vermögensrechtlichen Angelegenheit auszugehen. Die zweitinstanzliche Entscheidgebühr ist in Anwen-</w:t>
      </w:r>
    </w:p>
    <w:p>
      <w:r>
        <w:t>- 8 - dung von § 12 Abs. 1 und 2 GebV OG in Verbindung mit § 5 Abs. 1 GebV OG und § 10 Abs. 1 GebV OG auf Fr. 1'000.– festzusetzen. Die Gerichtskosten des Be- schwerdeverfahrens sind ausgangsgemäss der unterliegenden Beklagten aufzu- erlegen (Art. 106 Abs. 1 ZPO). 5.2 Mangels relevanter Umtriebe im Beschwerdeverfahren sind keine Par- teientschädigungen zuzusprechen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