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PC160031 vom 21. Juni 2016</w:t>
      </w:r>
    </w:p>
    <w:p>
      <w:r>
        <w:t>ZH Obergericht, 2016-06-21, DE</w:t>
      </w:r>
    </w:p>
    <w:p>
      <w:r>
        <w:rPr>
          <w:b/>
        </w:rPr>
        <w:t xml:space="preserve">Quelle: </w:t>
      </w:r>
      <w:r>
        <w:t>https://mcp.opencaselaw.ch/entscheid/zh_obergericht_PC160031</w:t>
      </w:r>
    </w:p>
    <w:p>
      <w:r>
        <w:t>FR: ZH_OBERGERICHT PC160031 du 21 juin 2016</w:t>
      </w:r>
    </w:p>
    <w:p>
      <w:r>
        <w:t>IT: ZH_OBERGERICHT PC160031 del 21 giugno 2016</w:t>
      </w:r>
    </w:p>
    <w:p>
      <w:pPr>
        <w:pStyle w:val="Heading2"/>
      </w:pPr>
      <w:r>
        <w:t>Erwägungen</w:t>
      </w:r>
    </w:p>
    <w:p>
      <w:r>
        <w:rPr>
          <w:b/>
        </w:rPr>
        <w:t>E. 1</w:t>
      </w:r>
    </w:p>
    <w:p>
      <w:r>
        <w:t>Es sei die angefochtene Verfügung vom 9. Mai 2016 vollumfäng- lich zu kassieren;</w:t>
      </w:r>
    </w:p>
    <w:p>
      <w:r>
        <w:rPr>
          <w:b/>
        </w:rPr>
        <w:t>E. 2</w:t>
      </w:r>
    </w:p>
    <w:p>
      <w:r>
        <w:t>[…]</w:t>
      </w:r>
    </w:p>
    <w:p>
      <w:r>
        <w:rPr>
          <w:b/>
        </w:rPr>
        <w:t>E. 2.2</w:t>
      </w:r>
    </w:p>
    <w:p>
      <w:r>
        <w:t>Mit Verfügung vom 27. Mai 2016 wurde das Gesuch der Beklagten um Erteilung der aufschiebenden Wirkung (Urk. 1 S. 2, Antrag Ziffer 2) abgewiesen (Urk. 6 S. 4, Dispositivziffer 1).</w:t>
      </w:r>
    </w:p>
    <w:p>
      <w:r>
        <w:rPr>
          <w:b/>
        </w:rPr>
        <w:t>E. 2.3</w:t>
      </w:r>
    </w:p>
    <w:p>
      <w:r>
        <w:t>Die Beklagte hat fristgerecht einen Kostenvorschuss von Fr. 2'000.– ge- leistet (Urk. 6 S. 4, Dispositivziffer 2; Urk. 8).</w:t>
      </w:r>
    </w:p>
    <w:p>
      <w:r>
        <w:rPr>
          <w:b/>
        </w:rPr>
        <w:t>E. 2.4</w:t>
      </w:r>
    </w:p>
    <w:p>
      <w:r>
        <w:t>Da sich die Beschwerde - wie nachfolgend dargelegt - als offensichtlich unzulässig erweist, kann auf die Einholung einer Beschwerdeantwort verzichtet werden (Art. 322 Abs. 1 ZPO).</w:t>
      </w:r>
    </w:p>
    <w:p>
      <w:r>
        <w:t>- 3 -</w:t>
      </w:r>
    </w:p>
    <w:p>
      <w:r>
        <w:rPr>
          <w:b/>
        </w:rPr>
        <w:t>E. 2.5</w:t>
      </w:r>
    </w:p>
    <w:p>
      <w:r>
        <w:t>Die Zustellung an die Beklagte erfolgt durch Rechtsanwalt Dr. iur. X2._____ (Urk. 6 S. 4, Dispositivziffer 4; Urk. 9 S. 1).</w:t>
      </w:r>
    </w:p>
    <w:p>
      <w:r>
        <w:rPr>
          <w:b/>
        </w:rPr>
        <w:t>E. 3</w:t>
      </w:r>
    </w:p>
    <w:p>
      <w:r>
        <w:t>Mit Dispositivziffer 2 der angefochtenen Verfügung hat die Vorinstanz die weitergehenden Anträge des Klägers abgewiesen (vgl. Urk. 1 S. 8). Diesbezüglich ist die Beklagte nicht beschwert. Insoweit mit der Beschwerde die Kassation von Dispositivziffer 2 der Verfügung beantragt wird, ist daher auf diese nicht einzutre- ten. 4.1. Bei der angefochtenen Verfügung handelt es sich, wie bereits in der Verfügung der Kammer vom 27. Mai 2016 dargelegt (Urk. 6 S. 2) und wovon ins- besondere auch die Beklagte ausgeht (Urk. 1 S. 3), um einen prozessleitenden Entscheid. Gegen einen prozessleitenden Entscheid ist die Beschwerde - von den hier nicht einschlägigen, im Gesetz explizit vorgesehenen Fällen abgesehen - nur zulässig, wenn durch sie ein nicht leicht wiedergutzumachender Nachteil droht (Art. 319 lit. b Ziff. 2 ZPO). Beim drohenden, nicht leicht wiedergutzumachenden Nachteil handelt es sich um einen unbestimmten Rechtsbegriff, der vom Gericht unter Berücksichtigung der konkreten Umstände und in pflichtgemässer Aus- übung des Ermessens konkretisiert werden muss. Geltend gemacht werden kön- nen sowohl rechtliche wie (zumindest nach einem Teil der Lehre) auch tatsächli- che Nachteile (Freiburghaus/Afheldt, in: Sutter-Somm et al., ZPO Komm., Art. 319 N 13 ff.; Blickenstorfer, DIKE-Komm-ZPO, Art. 319 N 40). Die Beweislast für das Bestehen der Gefahr eines nicht leicht wiedergutzumachenden Nachteils trägt die Beschwerde führende Partei, falls die Gefahr nicht von vornherein offenkundig ist (BK ZPO Sterchi, Art. 319 N 15). Ist die Gefahr nicht offenkundig, hat die Be- schwerde führende Partei den nicht leicht wieder gutzumachenden Nachteil somit substanziert zu behaupten und allenfalls zu beweisen. Weiter hat sie Ausführun- gen zur Frage zu machen, inwiefern und weshalb sich der Nachteil später nicht mehr leicht wiedergutmachen lassen soll. Es ist nicht Aufgabe des Gerichtes, von Amtes wegen Nachforschungen anzustellen. Bei der Anwendung eines nicht leicht wiedergutzumachenden Nachteils ist Zurückhaltung angebracht (Blickenst- orfer, a.a.O., Art. 319 N 40, mit Hinweisen auf die einschlägige kantonale und</w:t>
      </w:r>
    </w:p>
    <w:p>
      <w:r>
        <w:t>- 4 - bundesrechtliche Rechtsprechung). Fehlt es an einem drohenden, nicht leicht wieder gutzumachenden Nachteil, ist auf die Beschwerde nicht einzutreten. 4.2. Ein nicht mehr leicht wiedergutzumachender Nachteil, welchen die Be- klagte dadurch erfährt, dass ihr unter Strafandrohung verboten wurde, die vom Kläger im Rahmen des Scheidungsverfahrens einzureichenden Urkunden zu sei- nen finanziellen Verhältnissen ausserhalb des Scheidungsverfahrens zu verwen- den, namentlich Dritten (mit Ausnahme solcher, die einem strafrechtlich geschütz- ten Berufsgeheimnis unterliegen) zugänglich zu machen, ist nicht ohne Weiteres ersichtlich. Sodann führt die Beklagte in der Beschwerdeschrift nicht aus (vgl. Urk. 1), was für einen nicht leicht wiedergutzumachenden Nachteil sie durch die von der Vorinstanz in Dispositivziffer 1 der angefochtenen Verfügung getroffene Regelung erleidet. Sie schweigt sich weiter darüber aus, inwiefern und weshalb sich (welcher?) Nachteil später nicht mehr leicht wiedergutmachen lassen soll. Bezüglich des einzigen Nachteils, den die Beklagte im Rahmen ihrer Beanstan- dungen des vorinstanzlichen Entscheids antönt, nämlich, dass sie darauf ange- wiesen sei, die vom Kläger im Scheidungsverfahren erlangten Informationen mit der G._____-Bank zu teilen (vgl. hierzu Urk. 1 S. 5 f. und S. 10 f.), geht sie selbst davon aus, dass ihr die von der Vorinstanz getroffene Regelung den Kontakt mit der G._____-Bank "gerade nicht" verbiete, da die G._____-Bank dem Bank- und damit einem Berufsgeheimnis unterstehe (Urk. 1 S. 11 f.). 4.3. Zusammenfassend ist festzuhalten, dass vorliegend ein nicht leicht wie- dergutzumachender Nachteil der Beklagten weder offenkundig noch dargelegt ist, weshalb auf die Beschwerde gegen Dispositivziffer 1 der angefochtenen Verfü- gung ebenfalls nicht einzutreten ist.</w:t>
      </w:r>
    </w:p>
    <w:p>
      <w:r>
        <w:rPr>
          <w:b/>
        </w:rPr>
        <w:t>E. 5</w:t>
      </w:r>
    </w:p>
    <w:p>
      <w:r>
        <w:t>Die zweitinstanzliche Entscheidgebühr ist in Anwendung von § 9 Abs. 1 i.V.m. § 12 Abs. 1 und 2 GebV OG auf Fr. 1'500.– festzusetzen. Ausgangsge- mäss ist sie der Beklagten aufzuerlegen (Art. 106 Abs. 1 ZPO). Für das Be- schwerdeverfahren sind keine Parteientschädigungen zuzusprechen, der Beklag- ten zufolge ihres Unterliegens, dem Kläger mangels relevanter Umtriebe (Art. 95 Abs. 3, Art. 106 Abs. 1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