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PC160004 vom 2. Mai 2016</w:t>
      </w:r>
    </w:p>
    <w:p>
      <w:r>
        <w:t>ZH Obergericht, 2016-05-02, DE</w:t>
      </w:r>
    </w:p>
    <w:p>
      <w:r>
        <w:rPr>
          <w:b/>
        </w:rPr>
        <w:t xml:space="preserve">Quelle: </w:t>
      </w:r>
      <w:r>
        <w:t>https://mcp.opencaselaw.ch/entscheid/zh_obergericht_PC160004</w:t>
      </w:r>
    </w:p>
    <w:p>
      <w:r>
        <w:t>FR: ZH_OBERGERICHT PC160004 du 2 mai 2016</w:t>
      </w:r>
    </w:p>
    <w:p>
      <w:r>
        <w:t>IT: ZH_OBERGERICHT PC160004 del 2 maggio 2016</w:t>
      </w:r>
    </w:p>
    <w:p>
      <w:pPr>
        <w:pStyle w:val="Heading2"/>
      </w:pPr>
      <w:r>
        <w:t>Erwägungen</w:t>
      </w:r>
    </w:p>
    <w:p>
      <w:r>
        <w:rPr>
          <w:b/>
        </w:rPr>
        <w:t>E. 1</w:t>
      </w:r>
    </w:p>
    <w:p>
      <w:r>
        <w:t>Einleitung, Prozessgeschichte</w:t>
      </w:r>
    </w:p>
    <w:p>
      <w:r>
        <w:rPr>
          <w:b/>
        </w:rPr>
        <w:t>E. 1.1</w:t>
      </w:r>
    </w:p>
    <w:p>
      <w:r>
        <w:t>Der Gesuchsgegner und Beschwerdeführer (im Folgenden: Gesuchsgeg- ner) reichte am 10. Dezember 2003 beim Bezirksgericht B._____ zusammen mit seiner damaligen Ehefrau C._____ ein gemeinsames Scheidungsbegehren ein (act. 2/3 S. 2). Es entwickelte sich ein aufwendiges Verfahren, in dem verschie- dene Zwischenentscheide gefällt wurden. Das Scheidungsverfahren wurde in der Sache mit den Urteilen des Bezirksgerichts B._____ vom 2. August 2007 (act. 2/3) und der I. Zivilkammer des Obergerichts vom 11. Februar 2009 (act. 2/4) abgeschlossen. Mit Verfügungen des Bezirksgerichts B._____ vom 14. und 22. Juni 2004 war den Scheidungsparteien die unentgeltliche Prozessführung bewilligt worden (act. 2/3 S. 66).</w:t>
      </w:r>
    </w:p>
    <w:p>
      <w:r>
        <w:rPr>
          <w:b/>
        </w:rPr>
        <w:t>E. 1.2</w:t>
      </w:r>
    </w:p>
    <w:p>
      <w:r>
        <w:t>Mit Schreiben vom 4. August 2014 wies der Gesuchsteller und Beschwer- degegner (im Folgenden: Gesuchsteller) den Gesuchsgegner darauf hin, dass ihm die Kosten im Scheidungsverfahren nicht definitiv erlassen worden seien. Er sei zur Nachzahlung verpflichtet, sofern er in wirtschaftlich günstige Verhältnisse gekommen sei. Der Gesuchsteller forderte den Gesuchsgegner auf, entweder in- nert 30 Tagen den Betrag von CHF 72'573.50 zu überweisen oder innert der glei- chen Frist die finanzielle Situation darzulegen (act. 2/9). Die Parteien konnten in der Folge trotz mehrfacher Korrespondenz keine Einigung finden. Am 12. August 2015 stellte der Gesuchsteller beim Bezirksgericht B._____ das Gesuch, es sei festzustellen, dass der Gesuchsgegner zur Nachzahlung von CHF 72'573.50 ver- pflichtet sei. Er stützte sich dabei auf folgende Entscheide (act. 1): Datum Instanz Gesch.-Nr. act. G'kosten Rechtsbeist. Kinderbeist. Total 27.02.2006 Obergericht LQ050097/U 2/1 2147.50 17.05.2006 Obergericht LQ050097/Z05 2/1B 3972.75 28.06.2006 Obergericht LQ050097/Z06 2/1A 6120.55 22.12.2006 Obergericht LQ060070/U 2/2 481.00 02.08.2007 BG B._____ FE030291/U 2/3 9512.00 11.02.2009 Obergericht LC070058/U 2/4 4000.00 11.02.2009 Obergericht LC070058/Z11 2/4B 5403.05 16.05.2011 Obergericht LC070058/Z13 2/4A 40936.65 Total 16140.50 47057.20 9375.80 72573.50</w:t>
      </w:r>
    </w:p>
    <w:p>
      <w:r>
        <w:t>- 3 - Nach durchgeführtem Verfahren hiess die Vorinstanz das Gesuch mit Urteil vom 25. Januar 2016 vollumfänglich gut, indem es folgendes erkannte (act. 8 = act. 13 = act.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