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PC150061 vom 2. November 2015</w:t>
      </w:r>
    </w:p>
    <w:p>
      <w:r>
        <w:t>ZH Obergericht, 2015-11-02, DE</w:t>
      </w:r>
    </w:p>
    <w:p>
      <w:r>
        <w:rPr>
          <w:b/>
        </w:rPr>
        <w:t xml:space="preserve">Quelle: </w:t>
      </w:r>
      <w:r>
        <w:t>https://mcp.opencaselaw.ch/entscheid/zh_obergericht_PC150061</w:t>
      </w:r>
    </w:p>
    <w:p>
      <w:r>
        <w:t>FR: ZH_OBERGERICHT PC150061 du 2 novembre 2015</w:t>
      </w:r>
    </w:p>
    <w:p>
      <w:r>
        <w:t>IT: ZH_OBERGERICHT PC150061 del 2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sind seit tt. August 1997 verheiratet; sie haben einen gemeinsamen Sohn (geboren tt.mm.1997; Vi-Urk. 6). Sie leben seit 2003 getrennt (Vi-Urk. 42 Blatt 3, Vi-Urk. 52 S. 3). Am 19. September 2011 reichte die Klägerin beim Bezirksgericht Horgen (Vorinstanz) eine Klage auf Scheidung der Ehe ein (Vi-Urk. 1). Am 26. Januar 2012 und 26. April 2012 fand die Einigungsverhand- lung statt, dazwischen eine Kinderanhörung (Vi-Prot. S. 5-11). Mit Verfügungen vom 10. November 2011 bzw. 7. Mai 2012 wurde den Parteien im vor- instanzlichen Verfahren die unentgeltliche Rechtspflege und Rechtsverbeistän- dung gewährt (Vi-Urk. 10, 29 und 75). Am 15. Mai 2012 stellte die Klägerin ein Begehren um Erlass vorsorglicher Massnahmen (Vi-Urk. 31); die entsprechende Verhandlung wurde auf Begehren zuerst des Beklagten, dann der Klägerin, dann wieder des Beklagten und schliesslich infolge eines Ausstandsbegehrens des Be- klagten mehrfach verschoben (Vi-Urk. 33-39, 48-50, 57-62, 69, 71 und 78) und fand schliesslich am 28. Februar 2013 statt (Vi-Prot. S. 19 ff.). Am 27. März 2013 erliess die Vorinstanz die vorsorglichen Massnahmen (Vi-Urk. 92). Diese Verfü- gung wurde auf Berufung des Beklagten hin (Vi-Urk. 98) von der Kammer mit Be- schluss vom 23. August 2013 aufgehoben, da ein Ausstandsbegehren des Be- klagten gegen den die Verfügung vom 27. März 2013 erlassenden Richter in zweiter Instanz gutgeheissen worden war (Vi-Urk. 110). Auf die vom Beklagten dagegen erhobene Beschwerde trat das Bundesgericht mit Urteil vom 12. Februar 2014 nicht ein (Vi-Urk. 114). Nachdem der neu mit dem Prozess befasste Einzel- richter, ... lic. iur. C._____, am 14. März 2014 eine erneute Kinderanhörung in Aussicht gestellt und zur Hauptverhandlung auf den 30. April 2014 vorgeladen hatte (Vi-Urk. 116), stellte der Beklagte ein Ausstandsbegehren gegen Bezirks- richter C._____ (Vi-Urk. 121). Am 25. April 2014 verlangte der Beklagte die Sistie- rung des Verfahrens, bis über sein Ausstandsbegehren entschieden sei (Vi-Urk. 130). Mit Urteil vom 25. Juni 2014 wies das Bezirksgericht Horgen das Aus- standsbegehren des Beklagten ab (Vi-Urk. 138A). Den dagegen erhobenen Be- schwerden des Beklagten an das Obergericht (Urteil der Kammer vom 23. Juli 2014; Vi-Urk. 141) und an das Bundesgericht (Urteil vom 4. November 2014, Vi-</w:t>
      </w:r>
    </w:p>
    <w:p>
      <w:r>
        <w:t>- 3 - Urk. 148) war kein Erfolg beschieden. Am 23. Januar 2015 wies die Verwaltungs- kommission des Obergerichts eine Aufsichtsbeschwerde des Beklagten gegen di- verse Richter des Bezirksgerichts Horgen ab (Vi-Urk. 149). Am 26. April 2015 stellte der Beklagte erneut ein Ausstandsbegehren gegen Bezirksrichter C._____, welches vom Bezirksgericht Horgen mit Urteil vom 20. August 2015 abgewiesen wurde (Urk. 4/3); eine dagegen vom Beklagten am 29. September 2015 erhobene Beschwerde ist am Obergericht noch hängig (PC150058-O). Mit Verfügung vom 6. Oktober 2015 hat die Vorinstanz nunmehr die Partei- en zur Hauptverhandlung auf den 24. November 2015 vorgeladen und ihnen eine Frist zur Einreichung diverser Unterlagen zu ihrer finanziellen Situation angesetzt (Vi-Urk. 163 = Urk. 2). b) Hiergegen hat der Beklagte am 16. Oktober 2015 (Postaufgabe) frist- gerecht Beschwerde erhoben und stellt die Beschwerdeanträge (Urk. 1 S. 1): "Ich beantrage,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