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PC150049 vom 18. August 2015</w:t>
      </w:r>
    </w:p>
    <w:p>
      <w:r>
        <w:t>ZH Obergericht, 2015-08-18, DE</w:t>
      </w:r>
    </w:p>
    <w:p>
      <w:r>
        <w:rPr>
          <w:b/>
        </w:rPr>
        <w:t xml:space="preserve">Quelle: </w:t>
      </w:r>
      <w:r>
        <w:t>https://mcp.opencaselaw.ch/entscheid/zh_obergericht_PC150049</w:t>
      </w:r>
    </w:p>
    <w:p>
      <w:r>
        <w:t>FR: ZH_OBERGERICHT PC150049 du 18 août 2015</w:t>
      </w:r>
    </w:p>
    <w:p>
      <w:r>
        <w:t>IT: ZH_OBERGERICHT PC150049 del 18 agosto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Schreiben vom 14. August 2015, beim Obergericht eingegangen am 17. August 2015, hat der Rechtsvertreter des Klägers die vom Kläger persön- lich am 10. August 2015 eingereichte Beschwerde (Urk. 1) gegen die von der Vor- instanz am 27. Juli 2015 verfügte Abweisung seines Gesuchs um unentgeltliche Rechtspflege (Urk. 2) zurückgezogen (Urk. 4). Das Verfahren ist dementspre- chend abzuschreiben (Art. 241 Abs. 3 ZPO).</w:t>
      </w:r>
    </w:p>
    <w:p>
      <w:r>
        <w:rPr>
          <w:b/>
        </w:rPr>
        <w:t>E. 2</w:t>
      </w:r>
    </w:p>
    <w:p>
      <w:r>
        <w:t>a) Im Verfahren um die unentgeltliche Rechtspflege werden grund- sätzlich keine Kosten erhoben (Art. 119 Abs. 6 ZPO). Nach bundesgerichtlicher Rechtsprechung gilt dies allerdings nur für das Gesuchsverfahren, nicht jedoch für ein Beschwerdeverfahren darüber (BGE 137 III 470). Demgemäss sind für das vorliegende Beschwerdeverfahren Gerichtskosten festzusetzen und ausgangs- gemäss dem unterliegenden Gesuchsteller aufzuerlegen (Art. 106 Abs. 1 ZPO). b) Für das Beschwerdeverfahren sind keine Parteientschädigung zuzu- sprechen (Art. 95 Abs. 3, Art. 106 Abs. 1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