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PC150023 vom 9. Juli 2015</w:t>
      </w:r>
    </w:p>
    <w:p>
      <w:r>
        <w:t>ZH Obergericht, 2015-07-09, DE</w:t>
      </w:r>
    </w:p>
    <w:p>
      <w:r>
        <w:rPr>
          <w:b/>
        </w:rPr>
        <w:t xml:space="preserve">Quelle: </w:t>
      </w:r>
      <w:r>
        <w:t>https://mcp.opencaselaw.ch/entscheid/zh_obergericht_PC150023</w:t>
      </w:r>
    </w:p>
    <w:p>
      <w:r>
        <w:t>FR: ZH_OBERGERICHT PC150023 du 9 juillet 2015</w:t>
      </w:r>
    </w:p>
    <w:p>
      <w:r>
        <w:t>IT: ZH_OBERGERICHT PC150023 del 9 luglio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 (Gesuchsgegnerin und Beschwerdeführerin, fortan Beschwerdefüh- rerin) wurde 2006 in einem sie betreffenden Verfahren auf Abänderung des Scheidungsurteils die unentgeltliche Rechtspflege gewährt, weshalb sie damals Gerichtskosten in der Höhe von Fr. 1'083.50 nicht bezahlen musste. Zudem wur- de dannzumal ihre (unentgeltliche) Rechtsvertreterin mit Fr. 8'791.35 aus der Ge- richtskasse entschädigt (act. 2/2). Mit Eingabe vom 9. Januar 2015 beantragte der Kanton Zürich (Gesuchsteller und Beschwerdegegner, fortan Beschwerdegegner) bei der Vorinstanz, die Beschwerdeführerin sei zur Erstattung der genannten Be- träge zu verpflichten, da sie inzwischen finanziell dazu in der Lage sei (act. 1 und 2/1-10). Als Beweis reichte der Beschwerdegegner diverse Dokumente ein, da- runter auch Steuerunterlagen der Beschwerdeführerin und ihres jetzigen Ehegat- ten (act. 2/1-10).</w:t>
      </w:r>
    </w:p>
    <w:p>
      <w:r>
        <w:rPr>
          <w:b/>
        </w:rPr>
        <w:t>E. 2</w:t>
      </w:r>
    </w:p>
    <w:p>
      <w:r>
        <w:t>Die Vorinstanz holte eine Stellungnahme der Beschwerdeführerin ein, wel- che innert erstreckter Frist und ohne dass die Beschwerdeführerin darin eigene Beweismittel bezeichnet hätte einging (act. 8). Am 29. April 2015 fällte die Vo- rinstanz folgendes Urteil (act. 9 = act. 14 = act. 15):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