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PC150015 vom 19. Juni 2015</w:t>
      </w:r>
    </w:p>
    <w:p>
      <w:r>
        <w:t>ZH Obergericht, 2015-06-19, DE</w:t>
      </w:r>
    </w:p>
    <w:p>
      <w:r>
        <w:rPr>
          <w:b/>
        </w:rPr>
        <w:t xml:space="preserve">Quelle: </w:t>
      </w:r>
      <w:r>
        <w:t>https://mcp.opencaselaw.ch/entscheid/zh_obergericht_PC150015</w:t>
      </w:r>
    </w:p>
    <w:p>
      <w:r>
        <w:t>FR: ZH_OBERGERICHT PC150015 du 19 juin 2015</w:t>
      </w:r>
    </w:p>
    <w:p>
      <w:r>
        <w:t>IT: ZH_OBERGERICHT PC150015 del 19 giugno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Der Antrag des Beklagten auf Sistierung des übrigen Scheidungsprozesses wird ab- gewiesen, und das Verfahren wird mit Bezug auf sämtliche strittigen Nebenfolgen und unter Beachtung der Einschränkung gemäss Dispositivziffer 1 weitergeführt.</w:t>
      </w:r>
    </w:p>
    <w:p>
      <w:r>
        <w:rPr>
          <w:b/>
        </w:rPr>
        <w:t>E. 3</w:t>
      </w:r>
    </w:p>
    <w:p>
      <w:r>
        <w:t>Dem Beklagten wird eine letztmalige Frist von 20 Tagen ab Zustellung dieser Verfü- gung angesetzt, um im Sinne der Erwägungen eine schriftliche Duplik im Doppel ein- zureichen und insbesondere zu den Anträgen und Ausführungen in der Replik im Einzelnen Stellung zu nehmen. Bei Säumnis ist der Beklagte mit einer schriftlichen Duplik ausgeschlossen.</w:t>
      </w:r>
    </w:p>
    <w:p>
      <w:r>
        <w:rPr>
          <w:b/>
        </w:rPr>
        <w:t>E. 4</w:t>
      </w:r>
    </w:p>
    <w:p>
      <w:r>
        <w:t>(Schriftliche Mitteilung).</w:t>
      </w:r>
    </w:p>
    <w:p>
      <w:r>
        <w:rPr>
          <w:b/>
        </w:rPr>
        <w:t>E. 5</w:t>
      </w:r>
    </w:p>
    <w:p>
      <w:r>
        <w:t>Alles unter Kosten- und Entschädigungsfolgen zu Lasten der Gesuchstellerin." 1.2 Mit Verfügung vom 9. März 2015 entschied die Vorinstanz folgendes (Urk. 2 S. 20 f.):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