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PC140027 vom 11. August 2014</w:t>
      </w:r>
    </w:p>
    <w:p>
      <w:r>
        <w:t>ZH Obergericht, 2014-08-11, DE</w:t>
      </w:r>
    </w:p>
    <w:p>
      <w:r>
        <w:rPr>
          <w:b/>
        </w:rPr>
        <w:t xml:space="preserve">Quelle: </w:t>
      </w:r>
      <w:r>
        <w:t>https://mcp.opencaselaw.ch/entscheid/zh_obergericht_PC140027</w:t>
      </w:r>
    </w:p>
    <w:p>
      <w:r>
        <w:t>FR: ZH_OBERGERICHT PC140027 du 11 août 2014</w:t>
      </w:r>
    </w:p>
    <w:p>
      <w:r>
        <w:t>IT: ZH_OBERGERICHT PC140027 del 11 agosto 2014</w:t>
      </w:r>
    </w:p>
    <w:p>
      <w:pPr>
        <w:pStyle w:val="Heading2"/>
      </w:pPr>
      <w:r>
        <w:t>Erwägungen</w:t>
      </w:r>
    </w:p>
    <w:p>
      <w:r>
        <w:rPr>
          <w:b/>
        </w:rPr>
        <w:t>E. 1</w:t>
      </w:r>
    </w:p>
    <w:p>
      <w:r>
        <w:t>Die Parteien stehen sich seit Dezember 2010 in einem Verfahren be- treffend Abänderung Scheidungsurteil vor dem Bezirksgericht Hinwil gegenüber (vgl. act. 5/1-208). Mit Verfügung vom 10. April 2014 wurde den Parteien Frist zur Nennung von Beweismitteln angesetzt (act. 5/189). Mit Eingabe vom 13. Mai 2014 stellte die Klägerin und Beschwerdeführerin (nachfolgend Klägerin) ein Frist- erstreckungsgesuch (act. 5/192). Mit Verfügung vom 15. Mai 2014 wurde das Ge- such um Fristerstreckung abgewiesen, da die Frist bereits am 6. Mai 2014 abge- laufen sei (act. 5/193). Mit Eingabe vom 16. Mai 2014 stellte die Klägerin ein Ge- such um Wiederherstellung der Frist (act. 5/195). Hierzu nahm der Beklagte und Beschwerdegegner (nachfolgend Beklagter) mit Eingabe vom 24. Mai 2014 Stel- lung und beantragte die Abweisung des Wiederherstellungsgesuchs (act. 5/200). Die Stellungnahme wurde der Klägerin mit Schreiben vom 28. Mai 2014 zur Kenntnisnahme weitergeleitet (act. 5/201). Mit Verfügung vom 24. Juni 2014 des Einzelgerichts des Bezirksgerichts Hinwil wurde das Gesuch der Klägerin um Wiederherstellung der am 6. Mai 2014 abgelaufenen Frist zur Nennung von Be- weismitteln abgewiesen (act. 5/205 = act. 4 Dispositivziffer 1).</w:t>
      </w:r>
    </w:p>
    <w:p>
      <w:r>
        <w:rPr>
          <w:b/>
        </w:rPr>
        <w:t>E. 2</w:t>
      </w:r>
    </w:p>
    <w:p>
      <w:r>
        <w:t>Hiergegen richtet sich die von der Klägerin mit Eingabe vom 7. Juli 2014 rechtzeitig (vgl. act. 5/208 S. 1) erhobene Beschwerde. Sie beantragt Fol- gendes (act. 2 S. 2): " Es sei die Verfügung des Bezirksgerichtes Hinwil vom 24. Juni 2014 aufzuheben und es sei das Fristwiederherstellungsgesuch zu bewilligen und der Beschwerdeführerin eine angemessene Frist zur Nennung der Beweismittel anzusetzen; alles unter Kosten- und Entschädigungsfolgen (zuzüglich MwSt.) zulasten des Be- schwerdegegners."</w:t>
      </w:r>
    </w:p>
    <w:p>
      <w:r>
        <w:rPr>
          <w:b/>
        </w:rPr>
        <w:t>E. 3</w:t>
      </w:r>
    </w:p>
    <w:p>
      <w:r>
        <w:t>Wie die Vorinstanz zutreffend ausführte, geht es vorliegend einzig um die Frage, ob die klägerische Rechtsvertreterin die Fristberechnung unkontrolliert ihrer Assistentin hat überlassen dürfen. Dies wird von der Gerichtspraxis klar ver- neint. Ein Anwalt oder ein juristisch geschulter Mitarbeiter hat die Fristberechnung selber vorzunehmen oder vollumfänglich zu überprüfen (vgl. ZR 84/1985 Nr. 136; HAUSER/SCHWERI, Kommentar zum zürcherischen Gerichtsverfassungsgesetz, 2002, N 64 zu § 199 GVG; OGer ZH RB110028 vom 21. Juli 2011). Indem vorlie- gend die Rechtsvertreterin der Klägerin die Berechnung der Frist allein ihrer As- sistentin überlassen hat (vgl. act. 5/195), ist sie ihrer eigenen Pflicht nicht nachge- kommen, worin ein sie persönlich treffendes grobes Verschulden zu erblicken ist. Folglich wäre eine Wiederherstellung der Frist nur mit Zustimmung der Gegenpar- tei möglich (§ 199 GVG); eine solche liegt nicht vor (vgl. act. 5/200 S. 1). Im Wei- teren lässt sich aus dem Umstand, dass andere Bezirksgerichte bei einer Fristan-</w:t>
      </w:r>
    </w:p>
    <w:p>
      <w:r>
        <w:t>- 5 - setzung ausdrücklich darauf hinweisen, dass die Zürcher Zivilprozessordnung zur Anwendung gelange, nichts zu Gunsten der Klägerin ableiten. In der Verfügung vom 10. April 2014 wurde überdies auf Seite 2 deutlich auf die Anwendung der ZPO/ZH verwiesen (act. 5/189). Die Beschwerde ist daher abzuweisen.</w:t>
      </w:r>
    </w:p>
    <w:p>
      <w:r>
        <w:rPr>
          <w:b/>
        </w:rPr>
        <w:t>E. 4</w:t>
      </w:r>
    </w:p>
    <w:p>
      <w:r>
        <w:t>Ausgangsgemäss sind die Gerichtskosten des Beschwerdeverfahrens der Klägerin aufzuerlegen (Art. 106 Abs. 1 ZPO). Dem Beklagten ist mangels Um- 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