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PC140009 vom 15. April 2014</w:t>
      </w:r>
    </w:p>
    <w:p>
      <w:r>
        <w:t>ZH Obergericht, 2014-04-15, DE</w:t>
      </w:r>
    </w:p>
    <w:p>
      <w:r>
        <w:rPr>
          <w:b/>
        </w:rPr>
        <w:t xml:space="preserve">Quelle: </w:t>
      </w:r>
      <w:r>
        <w:t>https://mcp.opencaselaw.ch/entscheid/zh_obergericht_PC140009</w:t>
      </w:r>
    </w:p>
    <w:p>
      <w:r>
        <w:t>FR: ZH_OBERGERICHT PC140009 du 15 avril 2014</w:t>
      </w:r>
    </w:p>
    <w:p>
      <w:r>
        <w:t>IT: ZH_OBERGERICHT PC140009 del 15 aprile 2014</w:t>
      </w:r>
    </w:p>
    <w:p>
      <w:pPr>
        <w:pStyle w:val="Heading2"/>
      </w:pPr>
      <w:r>
        <w:t>Erwägungen</w:t>
      </w:r>
    </w:p>
    <w:p>
      <w:r>
        <w:rPr>
          <w:b/>
        </w:rPr>
        <w:t>E. 2</w:t>
      </w:r>
    </w:p>
    <w:p>
      <w:r>
        <w:t>Der vom Beschwerdeführer zitierte Entscheid der I. Zivilkammer des Zürcher Obergerichts, ZR 100 (2001) Nr. 37 S. 119 ff., ist hier einschlägig: Nach dieser (nach wie vor überzeugenden) Praxis sind beim Rückzug des gemeinsa- men Scheidungsbegehrens in Verfahren nach Art. 111 und Art. 112 ZGB die Kos- ten auch dann beiden Gesuchstellern aufzuerlegen, wenn der Rückzug nur durch einen der Ehepartner erfolgte. In diesen Fällen werden ebenso die Parteientschä- digungen wettgeschlagen. Dieses Vorgehen wird gewählt, um Umständen entge- genzuwirken, welche geeignet wären, die Freiheit des Scheidungswillens einzu- schränken. Denn würde der Rückzug des Einverständnisses zur Scheidung durch einen Ehepartner mit einer Kostenauflage diesem gegenüber sanktioniert, stünde er allenfalls unter dem Druck, seinen einmal geäusserten Scheidungswillen auf- recht erhalten zu müssen, um sich nicht mit negativen finanziellen Folgen kon- frontiert zu sehen. Im Übrigen lässt sich auch argumentieren, dass die Aufwände des Gerichts durch die zuvor erfolgte Einreichung des Scheidungsbegehrens durch beide Ehepartner gemeinsam verursacht wurden. Ist die Voraussetzung für eine Scheidung auf gemeinsames Begehren zufolge Rückzugs des Einverständ- nisses durch einen Ehepartner nicht (mehr) erfüllt (Art. 288 Abs. 3 ZPO), ist –</w:t>
      </w:r>
    </w:p>
    <w:p>
      <w:r>
        <w:t>auch wenn z.B. Art. 106 Abs. 1 ZPO für den Fall eines Klagerückzugs direkte Kostenfolgen vorsieht – in Fällen wie dem vorliegenden gestützt auf Art. 107 Abs. 1 lit. c ZPO eine hälftige Verteilung der Aufwände eher angezeigt (vgl. dazu auch BGE 139 III 358 E. 3).</w:t>
      </w:r>
    </w:p>
    <w:p>
      <w:r>
        <w:rPr>
          <w:b/>
        </w:rPr>
        <w:t>E. 3</w:t>
      </w:r>
    </w:p>
    <w:p>
      <w:r>
        <w:t>Aufgrund des eben Ausgeführten sind keine Anhaltspunkte ersichtlich, die gegen eine hälftige Kostenteilung und ein Wettschlagen der Parteientschädi- gungen für das vorinstanzliche Verfahren sprechen würden. Solche Anhaltspunk- te sind insbesondere auch den vorinstanzlichen Erwägungen nicht zu entnehmen. Folglich ist die vorinstanzliche Kosten- und Entschädigungsregelung im genann- ten Sinne anzupassen. Diese Anpassung kann direkt durch die Kammer erfolgen (Art. 327 Abs. 3 lit. b ZPO), weshalb sich die vom Beschwerdeführer thematisierte Rückweisung erübrigt. Die Kostenhöhe wurde nicht gerügt, weshalb sie unverän- dert bleibt.</w:t>
      </w:r>
    </w:p>
    <w:p>
      <w:r>
        <w:rPr>
          <w:b/>
        </w:rPr>
        <w:t>E. 4</w:t>
      </w:r>
    </w:p>
    <w:p>
      <w:r>
        <w:t>Der Vollständigkeit halber sei noch erwähnt, dass eine – wie vom Be- schwerdeführer gerügte – Verletzung der Begründungspflicht durch die Vo- rinstanz nicht ersichtlich ist. Die Vorinstanz hat (zwar knapp, aber dennoch) klar dargelegt, weshalb sie zur – nun zu korrigierenden – Kosten- und Entschädi- gungsregelung gelangte (…). Obergericht, II. Zivilkammer Beschluss und Urteil vom 15. April 2014 Geschäfts-Nr.: PC140009-O/U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