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PC140004 vom 18. Juni 2014</w:t>
      </w:r>
    </w:p>
    <w:p>
      <w:r>
        <w:t>ZH Obergericht, 2014-06-18, DE</w:t>
      </w:r>
    </w:p>
    <w:p>
      <w:r>
        <w:rPr>
          <w:b/>
        </w:rPr>
        <w:t xml:space="preserve">Quelle: </w:t>
      </w:r>
      <w:r>
        <w:t>https://mcp.opencaselaw.ch/entscheid/zh_obergericht_PC140004</w:t>
      </w:r>
    </w:p>
    <w:p>
      <w:r>
        <w:t>FR: ZH_OBERGERICHT PC140004 du 18 juin 2014</w:t>
      </w:r>
    </w:p>
    <w:p>
      <w:r>
        <w:t>IT: ZH_OBERGERICHT PC140004 del 18 giugno 2014</w:t>
      </w:r>
    </w:p>
    <w:p>
      <w:pPr>
        <w:pStyle w:val="Heading2"/>
      </w:pPr>
      <w:r>
        <w:t>Erwägungen</w:t>
      </w:r>
    </w:p>
    <w:p>
      <w:r>
        <w:rPr>
          <w:b/>
        </w:rPr>
        <w:t>E. 1</w:t>
      </w:r>
    </w:p>
    <w:p>
      <w:r>
        <w:t>In dem mit Schriftsatz vom 29. September 2011 und Einreichung des gemeinsamen Scheidungsbegehrens eingeleiteten und vor dem Einzelgericht des Bezirksgerichtes Meilen noch pendenten Scheidungsverfahren zwischen den Eheleuten B._____ und C._____ vertrat der Beschwerdeführer die Klägerin (Proz.-Nr. FE110144, act. 6/1 - 2). Nach Durchführung der Einigungsverhandlung vom 13. März 2012 (vgl. act. 6/9 und Prot. I S. 10 f.) wurde der Klägerin am 23. April 2012 auf Gesuch vom 29. September 2011 die unentgeltliche Rechtspflege gewährt und der Beschwerdeführer als unentgeltlicher Rechtsbeistand bestellt (act. 6/45), jedoch mit Verfügung vom 25. April 2013 wegen Verletzung der Mit- wirkungsobliegenheit rückwirkend auf den 4. Februar 2013 entzogen (act. 6/184). Die dagegen erhobene Beschwerde hiess das Obergericht des Kantons Zürich dahingehend teilweise gut, als die unentgeltliche Rechtspflege erst per 25. April 2013 entzogen wurde. Im Übrigen wurde die Beschwerde abgewiesen (act. 6/213).</w:t>
      </w:r>
    </w:p>
    <w:p>
      <w:r>
        <w:rPr>
          <w:b/>
        </w:rPr>
        <w:t>E. 2</w:t>
      </w:r>
    </w:p>
    <w:p>
      <w:r>
        <w:t>Nach Beendigung des Mandatsverhältnisses zur Klägerin per 8. November 2013 (act. 6/229) reichte der Beschwerdeführer am 14. November 2013 der Vorinstanz die Honorarnote mit einer detaillierten Aufstellung über seine Bemühungen und Auslagen ein (act. 6/238 f.). Er beanspruchte für seine Tätigkeit als unentgeltlicher Rechtsbeistand der Klägerin in der Zeit vom 15. August 2011 bis 24. April 2013 ein Honorar von Fr. 23'932.-- sowie Fr. 898.30 Auslagenersatz, je zuzüglich 8% Mehrwertsteuer, somit total Fr. 26'816.70. Geltend gemacht wur- de ein Zeitaufwand von 119.66 Stunden und ein Stundenansatz von Fr. 200.-- (act. 6/239).</w:t>
      </w:r>
    </w:p>
    <w:p>
      <w:r>
        <w:rPr>
          <w:b/>
        </w:rPr>
        <w:t>E. 3</w:t>
      </w:r>
    </w:p>
    <w:p>
      <w:r>
        <w:t>Der Beschwerdeführer begründet die beanspruchte Grundgebühr von Fr. 13'000.-- und den geltend gemachten Zuschlag von knapp 85 % im Wesentli- chen damit, dass es sich beim vorliegenden Scheidungsverfahren um eine hoch- strittige Sache gehandelt habe, was sich bereits aus dem beträchtlichen Aktenum- fang unschwer erkennen lasse. Die Kinderunterhaltsbeiträge an die beiden Töch- ter sowie die Ausübung und das Ausmass des Kinderbesuchs- und Ferienrechts seien hochstrittig. Es sei von einer hohen Verantwortung seinerseits auszugehen, zumal daneben auch der Ehegattenunterhalt, das Güterrecht sowie das Vorsor- geguthaben strittig gewesen seien. Der Prozessbeistand für die beiden Töchter sei erst am 24. Juli 2012 bestellt worden, was nicht bedeute, dass ab diesem Da- tum kein Aufwand mehr angefallen sei (act. 2 S. 3 - 5). Die von der Vorinstanz zunächst gewährte und dann widerrufene unentgelt- liche Prozessführung und Rechtsverbeiständung deute keineswegs auf eine ein- fache Sach- und Rechtslage hin. Ebenso der Umstand, dass die Vorinstanz trotz zweier schulpflichtiger Kinder anlässlich der Einigungsverhandlung und der Ver- handlung über vorsorgliche Massnahmen von einer nicht lebensprägenden Ehe ausgegangen, welcher Ansicht vehement widersprochen worden sei (act. 2 S. 5). Auch wenn der ausgewiesene Zeitaufwand nur als Richtwert gelte, so über- zeuge die von der Vorinstanz vorgenommene Kürzung von 119.66 auf 67.5 Stun- den und somit um 44 % nicht. Neben der 18-seitigen Klagebegründung samt An- trag um Erlass von vorsorglichen Massnahmen habe er an zwei Verhandlungen teilgenommen. Darüber hinaus habe er insgesamt 19 Eingaben/Rechtsschriften von insgesamt 84 Seiten verfasst. Dass diese grossmehrheitlich nicht notwendig gewesen seien, werde bestritten (act. 2 S. 6). Einen nicht unbedeutenden Auf- wand habe die Vorinstanz durch ihr Verhalten selber verursacht und sei dieser zu entschädigen. So habe sie ihn zu sechs Eingaben betreffend das Gesuch um un- entgeltliche Rechtsverbeiständung aufgefordert und zwar zum überwiegenden Teil zum Zeitpunkt, als das Gesuch bereits bewilligt gewesen sei. Dass mit einma-</w:t>
      </w:r>
    </w:p>
    <w:p>
      <w:r>
        <w:t>- 7 - liger, umfassender Darlegung der wirtschaftlichen Situation der Klägerin der Mehraufwand hätte vermieden werden können, werde bestritten. Weiter sei der Konventionsvorschlag vom 24. April 2012, in welchem der aufgeführte Notbedarf des Beklagten in keiner Art und Weise belegt gewesen und ins Blaue geschätzt worden sei, derart ungenügend und unsubstantiiert gewesen, dass auch diesbe- züglich von der Vorinstanz unnötiger Aufwand verursacht worden sei. Ebenso als sie den Beklagten, welcher ihn (den Beschwerdeführer) im Rahmen der Verhand- lung betreffend vorsorgliche Massnahmen aufs Übelste beschimpft und tätlich an- gegangen habe, habe gewähren lassen und in keiner Art und Weise angemessen reagiert habe, weshalb sie mit zwei Eingaben auf ihre Verhandlungsführungs- pflicht hingewiesen worden sei (act. 2 S. 3 f.). 4.1 Wie auch die der Sache nahestehende Vorinstanz erwogen hat, be- wegte sich die Schwierigkeit des Falles im üblichen Rahmen. Über den Schei- dungspunkt waren sich die Parteien einig (act. 6/2). Die Frage der Zuteilung der elterlichen Sorge für die beiden gemeinsamen Töchter an die Klägerin war unbe- stritten. Ebenfalls unbestritten war, dass dem Beklagten grundsätzlich ein Be- suchs- und Ferienrecht einzuräumen ist. Die Klägerin beantragte diesbezüglich eine gerichtsübliche Regelung (act. 6/14 S. 2; act. 6/26 S. 2; act. 6/92 S. 3; act. 6/128 S. 2). Zu wiederholten Auseinandersetzungen Anlass gab jedoch die Wahrnehmung und Ausübung des Besuchsrechts durch den Beklagten (vgl. statt vieler act. 6/96 S. 13). In güterrechtlicher Hinsicht bestand wenig Regelungsbe- darf; die Parteien unterstehen dem Güterstand der Gütertrennung und es stellte sich einzig die Frage nach der von der Klägerin geltend gemachten Rückzahlung eines Teiles der bezahlten gemeinsamen Schulden (act. 6/92 S. 4 und 14 f.) so- wie der Rückgabe der vom Beklagten verlangten Uhrensammlung (act. 6/128 S. 3). Die nach Gesetz vorzunehmende hälftige Teilung der Vorsorgegelder war unbestritten. Sehr umstritten waren die wirtschaftlichen Verhältnisse beider Par- teien, die Unterhaltspflicht des Beklagten gegenüber der Klägerin als auch ‒ be- tragsmässig ‒ gegenüber den beiden Kindern (act. 6/92 S. 3 f., 13 und 15; act. 6/128 S. 3 und 8). Die unterschiedlichen Auffassungen und Anträge der Par- teien zur Frage, ob eine lebensprägende Ehe vorliege (act. 6/92 S. 6; act. 6/128 S. 6), vermögen die durchschnittliche rechtliche Schwierigkeit des Scheidungs-</w:t>
      </w:r>
    </w:p>
    <w:p>
      <w:r>
        <w:t>- 8 - prozesses nicht zu erhöhen. Ebensowenig der Umstand, dass die der Klägerin gewährte unentgeltliche Prozessführung und Rechtsverbeiständung widerrufen wurde, war doch dieser Widerruf Folge der Verletzung ihrer Mitwirkungsobliegen- heit (Falschangaben und nicht glaubhaft dargetane Mittellosigkeit u.a. zufolge un- genügender Offenlegung von Unterstützungsleistungen durch Dritte, nachdem aufgrund der persönlichen Befragung der Klägerin vom 4. Februar 2013 Zweifel an ihren vorgängigen Angaben aufgekommen waren, vgl. act. 6/184 und act. 6/213). Mit der Vorinstanz ist somit davon auszugehen, dass sich für das Ver- fahren nach Art. 112 ZGB keine atypischen und/oder besonders komplexen juris- tischen Fragen ergaben, weshalb die tatsächlichen und rechtlichen Verhältnisse des Falles insgesamt als durchschnittlich komplex zu bezeichnen sind. 4.2 Bezüglich der Verantwortung des Beschwerdeführers fällt ins Gewicht, dass die Kinderbelange in Bezug auf den betragsmässigen Kinderunterhalt (act. 6/92 und act. 6/128) sowie die Ausübung und Wahrnehmung des Besuchs- rechts strittig waren, wobei es aber zu berücksichtigen gilt, dass den Kindern am 24. Juli 2012 (act. 6/69) ein Prozessbeistand bestellt und am 16. Oktober 2012 (act. 6/96) die von den Parteien und vom Prozessbeistand beantragte Beistand- schaft angeordnet wurde (act. 6/92; act. 6/95; act. 6/128). Weiter wurde ein Gut- achten betreffend die Erziehungsfähigkeit beider Parteien bezüglich der Frage eines angemessenen Besuchsrechts und einer allfällige Anordnung von Kindes- schutzmassnahmen betreffend die beiden Töchter eingeholt (act. 6/183 und act. 6/257). All dies relativiert die bei strittigen Kinderbelangen grundsätzlich hohe Verantwortung des Beschwerdeführers. 4.3 Wie die Vorinstanz erwähnte (act. 5 S. 5), zog das schwierige Verhal- ten beider Parteien bezüglich der Wahrnehmung und Ausübung des Besuchs- rechts durch den Beklagten einen zeitlich erhöhten Einsatz nach sich (vgl. act. 6/53-56) und stellte die emotional angespannte und konfliktträchtige Bezie- hung zwischen den Parteien - deren verbale Auseinandersetzungen und Be- schimpfungen auch die Ermahnung durch das Gericht zur Folge hatten (act. 6/57) - hohe Anforderungen an die Mandatsbetreuung.</w:t>
      </w:r>
    </w:p>
    <w:p>
      <w:r>
        <w:t>- 9 - 4.4 In Beachtung der vorerwähnten Bemessungsfaktoren und angesichts des insgesamt doch eher aufwendigen Verfahrens ist mit der Vorinstanz davon auszugehen, dass die Grundgebühr im Mittelfeld des durch die AnwGebV gege- benen Gebührenrahmens (Fr. 1'400.-- bis Fr. 16'000.--) anzusetzen ist, und er- scheint die aufgrund der vorliegenden Umstände auf Fr. 9'000.-- festgesetzte Grundgebühr als vertretbar und eine Korrektur des weiten Ermessens des Sach- gerichts, das die Anforderungen des Prozesses aus eigener unmittelbarer An- schauung kennt, nicht gerechtfertigt. 5.1 Die Grundgebühr deckt den Aufwand für die Klagebegründung und die Teilnahme an der Hauptverhandlung ab. Laut § 11 Abs. 2 AnwGebV werden zur Grundgebühr Zuschläge berechnet, und zwar für die Teilnahme an zusätzlichen Verhandlungen und für weitere notwendige Rechtsschriften. 5.2 Bezüglich des Zuschlags macht der Beschwerdeführer geltend, bei ei- ner zweiten Verhandlungen und (nebst der Klagebegründung samt Antrag um Erlass von vorsorglichen Massnahmen von 18 Seiten) insgesamt 19 Eingaben/ Rechtsschriften von insgesamt 84 Seiten rechtfertige sich ein Zuschlag von knapp 85 % (act. 2 S. 6). 5.3 Im Zusammenhang mit der Gewährung der unentgeltlichen Rechts- pflege erfolgten sechs Eingaben mit insgesamt 31 Seiten, hauptsächlich zur wirt- schaftlichen Leistungsfähigkeit der Klägerin (act. 6/1, 6 Seiten; act. 6/42, 3 Seiten; act, 6/58, 3 Seiten; act. 6/ 64, 6 Seiten; act. 6/118, 4 Seiten; act. 6/167, 9 Seiten). Dem Beschwerdeführer ist im Grundsatz beizupflichten, dass mit einmaliger umfassender Darlegung der wirtschaftlichen Situation der Klägerin dieser Mehr- aufwand nicht gänzlich hätte vermieden werden können, da es sich teilweise (auf Aufforderung des Gerichts) um Stellungnahmen zu neuen Behauptungen des Be- klagten (act. 6/58, act. 6/118) oder veränderte Einkommensverhältnisse der Klä- gerin (act. 6/64) handelte. Dass die Klägerin mit ihrem eigenen prozessualen Ver- halten zusätzlichen Aufwand verursachte, weil sie ihre finanziellen Verhältnisse nur ungenügend offenlegte, wurde ihr gegenüber mit dem Entzug der unentgeltli-</w:t>
      </w:r>
    </w:p>
    <w:p>
      <w:r>
        <w:t>- 10 - chen Rechtspflege sanktioniert, wirkt sich aber grundsätzlich nicht zulasten der Entschädigung ihres unentgeltlichen Rechtsbeistandes aus. 5.4 Die Vorinstanz hat den Beschwerdeführer zu zwei Verhandlungen vor- geladen: Einigungsverhandlung (einschliesslich Verhandlung über Gewährung der unentgeltlichen Rechtspflege) sowie zur Verhandlung über vorsorgliche Mas- snahmen (Prot. I S. 10 und 41). Neben der Klagebegründung samt Antrag um vorsorgliche Massnahmen (act.6/ 92, 18 Seiten) hat der Beschwerdeführer ver- schiedene Eingaben verfasst: Rechtsbegehren zu den strittigen Scheidungsfolgen (act. 6/14, 5 Seiten), zwei Stellungnahmen zu Konventionsvorschlägen des Ge- richts (act. 6/52, 5 Seiten; act. 6/66, 3 Seiten), eine Richtigstellung einer Eingabe der Gegenseite (act. 6/55, 4 Seiten), einen Antrag betreffend Ermahnung des Be- klagten bezüglich der Wahrnehmung des Besuchsrecht (act. 6/77, 5 Seiten), vier kleinere Eingaben betreffend Noven zu den Einkommens- und Vermögensver- hältnissen des Beklagten (act. 6/100, 5 Seiten; act. 6/115, 6 Seiten; act. 6/169,</w:t>
      </w:r>
    </w:p>
    <w:p>
      <w:r>
        <w:rPr>
          <w:b/>
        </w:rPr>
        <w:t>E. 4</w:t>
      </w:r>
    </w:p>
    <w:p>
      <w:r>
        <w:t>Seiten; act. 6/175, 7 Seiten), ein Schreiben betreffend Absehen von der geplan- ten Kinderanhörung (act. 6/105, 2 Seiten), eine Stellungnahme zu einem Bericht der Beiständin (act. 6/157, 3 Seiten) sowie zwei Schreiben im Zusammenhang mit dem Verhalten des Beklagten im Rahmen der Verhandlung über die vorsorglichen Massnahmen vom 4. Februar 2013 (act. 6/160, 2 Seiten; act. 6/174, 2 Seiten). 5.5 Dem Beschwerdeführer sind Zuschläge für eine Verhandlung sowie für diverse, kleinere Eingaben zuzusprechen. Ob sämtliche der vorerwähnten Einga- ben für eine korrekte Mandatsführung erforderlich waren, kann letztlich offen blei- ben. Entscheidend ist, dass bei der gebotenen Gesamtbetrachtung kein Anlass besteht, den Ermessensentscheid der Vorinstanz betreffend den pauschalen Zu- schlag von 50 % zu korrigieren. Erinnert sei an dieser Stelle auch daran, dass sich der Rechtsvertreter bei der Übernahme eines unentgeltlichen Mandates be- wusst sein muss, dass er sich damit auch auf das System der Pauschalentschä- digung einlässt, welchem in der Beurteilung des Einzelfalles eine gewisse Un- schärfe immanent ist und das zum Zwecke hat, die Rechtsanwälte zur effizienten Prozessführung anzuhalten (vgl. act. 5 S. 4 E. 4.4 m. H. auf ZR 110/2011 Nr. 67).</w:t>
      </w:r>
    </w:p>
    <w:p>
      <w:r>
        <w:t>- 11 -</w:t>
      </w:r>
    </w:p>
    <w:p>
      <w:r>
        <w:rPr>
          <w:b/>
        </w:rPr>
        <w:t>E. 6</w:t>
      </w:r>
    </w:p>
    <w:p>
      <w:r>
        <w:t>Nach dem Gesagten verletzt das von der Vorinstanz festgesetzte Ho- norar von Fr. 13’500.-- zzgl. MwSt und Barauslagen weder Recht noch erscheint es unangemessen. Die Höhe der Auslagen war unbestritten. Aus den angeführten Gründen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