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PC130068 vom 12. Februar 2014</w:t>
      </w:r>
    </w:p>
    <w:p>
      <w:r>
        <w:t>ZH Obergericht, 2014-02-12, DE</w:t>
      </w:r>
    </w:p>
    <w:p>
      <w:r>
        <w:rPr>
          <w:b/>
        </w:rPr>
        <w:t xml:space="preserve">Quelle: </w:t>
      </w:r>
      <w:r>
        <w:t>https://mcp.opencaselaw.ch/entscheid/zh_obergericht_PC130068</w:t>
      </w:r>
    </w:p>
    <w:p>
      <w:r>
        <w:t>FR: ZH_OBERGERICHT PC130068 du 12 février 2014</w:t>
      </w:r>
    </w:p>
    <w:p>
      <w:r>
        <w:t>IT: ZH_OBERGERICHT PC130068 del 12 febbraio 2014</w:t>
      </w:r>
    </w:p>
    <w:p>
      <w:pPr>
        <w:pStyle w:val="Heading2"/>
      </w:pPr>
      <w:r>
        <w:t>Erwägungen</w:t>
      </w:r>
    </w:p>
    <w:p>
      <w:r>
        <w:rPr>
          <w:b/>
        </w:rPr>
        <w:t>E. 10</w:t>
      </w:r>
    </w:p>
    <w:p>
      <w:r>
        <w:t>September 2013 wurde dem Kläger Frist angesetzt, um dem Gericht einen Kostenvorschuss in der Höhe von Fr. 6'000.– zu leisten. Weiter wurde ihm unter Androhung von Säumnisfolgen Frist angesetzt, um dem Gericht eine Heiratsur- kunde im Original einzureichen (Urk. 4/5 S. 3 f.). Mit Verfügung vom 5. November 2013 wurde dem Kläger Nachfrist zum Leisten der Kaution angesetzt (Urk. 4/7). Der Kläger ersuchte hierauf mit Schreiben vom 11. November 2013 um Gewäh- rung der unentgeltlichen Rechtspflege (Urk. 4/9). Am 25. November 2013 ergin- gen folgende Verfügungen (Urk. 4/10 = Urk. 13):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