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PC130025 vom 3. Dezember 2013</w:t>
      </w:r>
    </w:p>
    <w:p>
      <w:r>
        <w:t>ZH Obergericht, 2013-12-03, DE</w:t>
      </w:r>
    </w:p>
    <w:p>
      <w:r>
        <w:rPr>
          <w:b/>
        </w:rPr>
        <w:t xml:space="preserve">Quelle: </w:t>
      </w:r>
      <w:r>
        <w:t>https://mcp.opencaselaw.ch/entscheid/zh_obergericht_PC130025</w:t>
      </w:r>
    </w:p>
    <w:p>
      <w:r>
        <w:t>FR: ZH_OBERGERICHT PC130025 du 3 décembre 2013</w:t>
      </w:r>
    </w:p>
    <w:p>
      <w:r>
        <w:t>IT: ZH_OBERGERICHT PC130025 del 3 dicembre 2013</w:t>
      </w:r>
    </w:p>
    <w:p>
      <w:pPr>
        <w:pStyle w:val="Heading2"/>
      </w:pPr>
      <w:r>
        <w:t>Erwägungen</w:t>
      </w:r>
    </w:p>
    <w:p>
      <w:r>
        <w:rPr>
          <w:b/>
        </w:rPr>
        <w:t>E. 1</w:t>
      </w:r>
    </w:p>
    <w:p>
      <w:r>
        <w:t>Mit Verfügung vom 27. März 2013 schrieb die Erstinstanz das Scheidungs- verfahren als durch Rückzug erledigt ab, nachdem der Gesuchsteller die von ihm am 26. Januar 2010 anhängig gemacht Scheidungsklage mit Eingabe vom 22. März 2013 zurückgezogen hatte. Für die Prozessgeschichte und das Verfah- ren kann auf die ausführlichen Erwägungen in der Abschreibungsverfügung ver- wiesen werden (Urk. 377 S. 6 ff.). Die Kosten- und Entschädigungsfolgen regelte die Erstinstanz wie folgt (Urk. 377 S. 17):</w:t>
      </w:r>
    </w:p>
    <w:p>
      <w:r>
        <w:rPr>
          <w:b/>
        </w:rPr>
        <w:t>E. 3</w:t>
      </w:r>
    </w:p>
    <w:p>
      <w:r>
        <w:t>Die Kosten des Verfahrens, ausgenommen derjenigen der Media- tion, des Gutachtens sowie des Kinderbeistandes, werden dem Gesuchsteller auferlegt, jedoch zufolge Gewährung der unentgelt- lichen Prozessführung einstweilen auf die Gerichtskasse genom- men. Die Nachzahlungspflicht für die Gerichts- und Anwaltskos- ten im Sinne von § 92 ZPO/ZH bleibt ausdrücklich vorbehalten.</w:t>
      </w:r>
    </w:p>
    <w:p>
      <w:r>
        <w:rPr>
          <w:b/>
        </w:rPr>
        <w:t>E. 4</w:t>
      </w:r>
    </w:p>
    <w:p>
      <w:r>
        <w:t>Die Kosten der Mediation in der Höhe von CHF 1'080.–, die Kos- ten des Gutachtens in der Höhe von CHF 9'325.– sowie die noch zu bestimmenden Kosten des Kinderprozessbeistandes, werden den Parteien je zur Hälfte auferlegt. Der hälftige Anteil des Ge- suchstellers wird zufolge Gewährung der unentgeltlichen Pro- zessführung einstweilen auf die Gerichtskasse genommen. Die Nachzahlungspflicht gemäss § 92 ZPO bleibt ausdrücklich vorbe- halten.</w:t>
      </w:r>
    </w:p>
    <w:p>
      <w:r>
        <w:rPr>
          <w:b/>
        </w:rPr>
        <w:t>E. 5</w:t>
      </w:r>
    </w:p>
    <w:p>
      <w:r>
        <w:t>Nach dem Gesagten verletzte die Erstinstanz den Anspruch der Gesuchstel- lerin auf rechtliches Gehör.</w:t>
      </w:r>
    </w:p>
    <w:p>
      <w:r>
        <w:rPr>
          <w:b/>
        </w:rPr>
        <w:t>E. 6</w:t>
      </w:r>
    </w:p>
    <w:p>
      <w:r>
        <w:t>Wird eine Verweigerung des rechtlichen Gehörs durch die Vorinstanz fest- gestellt, so leidet der Entscheid an einem schweren Mangel und wird aufgrund der sogenannten formellen Natur des Gehörsanspruch unabhängig davon, ob der Entscheid ohne die Verletzung anders ausgefallen wäre, aufgehoben. Aus- nahmsweise kann die Verletzung von der Rechtsmittelinstanz geheilt werden. Die Heilung ist nur zulässig, wenn die Verletzung des rechtlichen Gehörs nicht gravie- rend ist und die Rechtsmittelinstanz die gleiche Kognition in Tat- und Rechtsfra- gen hat wie die Vorinstanz (Sutter-Somm/Chevalier, in: Sutter-Somm/Hasen- böhler/Leuenberger, ZPO Komm., Zürich 2012, Art. 53 N 27).</w:t>
      </w:r>
    </w:p>
    <w:p>
      <w:r>
        <w:rPr>
          <w:b/>
        </w:rPr>
        <w:t>E. 7</w:t>
      </w:r>
    </w:p>
    <w:p>
      <w:r>
        <w:t>Eine Beschwerde kann wegen unrichtiger Rechtsanwendung und wegen of- fensichtlich unrichtiger Feststellung des Sachverhaltes erhoben werden (Art. 320 ZPO). Bei Rechtsfragen hat die Beschwerdeinstanz die gleiche Kognition wie die Vorinstanz (Freiburghaus/Afheldt, in: Sutter-Somm/Hasenböhler/Leuenberger, a.a.O., Art. 320 N 1). Allerdings kommt der Beschwerde hinsichtlich der Sachver- haltserstellung - etwa der geltend gemachte zeitliche Aufwand - eine beschränkte Kognition zu. Es besteht denn auch kein Raum für neue Tatsachenbehauptungen oder Beweismittel, was im umfassenden Novenverbot seinen Ausdruck findet (Freiburghaus/Afheldt in: Sutter-Somm/Hasenböhler/Leuenberger, a.a.O., Art. 326 N 4). Eine Heilung der Gehörsverletzung im vorliegenden Beschwerdeverfahren ist somit ausgeschlossen.</w:t>
      </w:r>
    </w:p>
    <w:p>
      <w:r>
        <w:rPr>
          <w:b/>
        </w:rPr>
        <w:t>E. 8</w:t>
      </w:r>
    </w:p>
    <w:p>
      <w:r>
        <w:t>Demzufolge ist die angefochtene Kostenverteilung (Dispositivziffern 3 bis 5) in Gutheissung der Beschwerde aufzuheben und die Sache zur Gehörsgewäh- rung und zur neuen Entscheidung im Sinne der Erwägungen an die Vorinstanz zurückzuweisen. III. Die Parteien haben das Vorgehen der Erstinstanz nicht zu vertreten. In Anwen- dung von Art. 107 Abs. 1 lit. f. ZPO ist daher vom Grundsatz der Kostenverteilung</w:t>
      </w:r>
    </w:p>
    <w:p>
      <w:r>
        <w:t>- 7 - nach Verfahrensausgang abzuweichen und es sind in Anwendung von Art. 107 Abs. 2 ZPO keine Kosten zu erheben. Eine Entschädigungspflicht des Staates zugunsten der obsiegenden Partei besteht in solchen Fällen nicht (Art. 107 Abs. 2 ZPO, Art. 116 ZPO, § 200 GOG; Adrian Urwyler, in DIKE-Komm-ZPO, N 12 zu Art. 107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