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PC120040 vom 28. August 2012</w:t>
      </w:r>
    </w:p>
    <w:p>
      <w:r>
        <w:t>ZH Obergericht, 2012-08-28, DE</w:t>
      </w:r>
    </w:p>
    <w:p>
      <w:r>
        <w:rPr>
          <w:b/>
        </w:rPr>
        <w:t xml:space="preserve">Quelle: </w:t>
      </w:r>
      <w:r>
        <w:t>https://mcp.opencaselaw.ch/entscheid/zh_obergericht_PC120040</w:t>
      </w:r>
    </w:p>
    <w:p>
      <w:r>
        <w:t>FR: ZH_OBERGERICHT PC120040 du 28 août 2012</w:t>
      </w:r>
    </w:p>
    <w:p>
      <w:r>
        <w:t>IT: ZH_OBERGERICHT PC120040 del 28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Erstverfügung vom 20. Juli 2012 wies die Vorinstanz das Ge- such des Beklagten um Gewährung der unentgeltlichen Rechtspflege ab (Urk. 2 S. 30). Mit Zweitverfügung vom gleichen Datum stellte die Vorinstanz (als vor- sorgliche Massnahme im Verfahren um Ergänzung bzw. Abänderung eines aus- ländischen Scheidungsurteils) die beiden Kinder der Parteien unter die Obhut der Klägerin und befahl dem Beklagten, die Tochter C._____ bis spätestens 31. Au- gust 2012 in die Schweiz zu bringen (Urk. 2 S. 31 Dispositiv-Ziffern 1 und 2). b) Gegen die genannte Zweitverfügung der Vorinstanz hat der Rechtsver- treter des Beklagten am 9. August 2012 fristgerecht Berufung erhoben, welche unter der Prozess-Nummer LY120029 angelegt wurde.</w:t>
      </w:r>
    </w:p>
    <w:p>
      <w:r>
        <w:rPr>
          <w:b/>
        </w:rPr>
        <w:t>E. 2</w:t>
      </w:r>
    </w:p>
    <w:p>
      <w:r>
        <w:t>a) Mit an die Vorinstanz gerichteter Eingabe vom 10. August 2012, in D._____ [Staat in Europa] am 13. August 2012 zur Post gegeben, erhob der Beklagte (selber) ein als "Rekurs" bezeichnetes Rechtsmittel gegen die vo- rinstanzliche Verweigerung der unentgeltlichen Rechtspflege (Urk. 1). Diese Ein- gabe wurde von der Vorinstanz mit deren Akten der beschliessenden Kammer übermittelt (Urk. 6 in LY120029). b) Die Berufung richtet sich einzig gegen die genannte Zweitverfügung (vgl. Urk. 1 S. 2 aus LY120029: "Die angefochtene Verfügung, wie auf S. 31 des angefochtenen Entscheides festgehalten, sei rücksichtlich Disp.- 1 + 2 aufzuhe- ben", "Stattdessen sei..."). Daher war das vorliegende Rechtsmittel als eigenstän- diges Verfahren anzulegen. c) Zulässiges Rechtsmittel gegen die Verweigerung der unentgeltlichen Rechtspflege ist die Beschwerde (Art. 121 ZPO). Das als "Rekurs" bezeichnete Rechtsmittel ist daher als Beschwerde entgegenzunehmen.</w:t>
      </w:r>
    </w:p>
    <w:p>
      <w:r>
        <w:t>- 3 -</w:t>
      </w:r>
    </w:p>
    <w:p>
      <w:r>
        <w:rPr>
          <w:b/>
        </w:rPr>
        <w:t>E. 3</w:t>
      </w:r>
    </w:p>
    <w:p>
      <w:r>
        <w:t>Die angefochtenen vorinstanzlichen Verfügungen vom 20. Juli 2012 wurden dem Beklagten (bzw. dessen Rechtsvertreter) am 30. Juli 2012 zugestellt (Vi-Urk. 61/2). Die Frist zur Einreichung der Beschwerde beträgt 10 Tage (Art. 321 Abs. 2 ZPO), wie die Vorinstanz korrekt belehrt hat (Dispositiv-Ziffer 4 der Erstverfügung, Urk. 2 S. 30 f.). Die Beschwerdefrist lief damit am 9. August 2012 ab. Die am 13. August 2012 in D._____ [Staat in Europa] aufgegebene (am 16. August 2012 bei der Vorinstanz eingetroffene) Beschwerde erweist sich damit als verspätet. Auf die Beschwerde des Beklagten kann daher nicht eingetreten werden.</w:t>
      </w:r>
    </w:p>
    <w:p>
      <w:r>
        <w:rPr>
          <w:b/>
        </w:rPr>
        <w:t>E. 4</w:t>
      </w:r>
    </w:p>
    <w:p>
      <w:r>
        <w:t>a) Das vorinstanzliche Hauptverfahren beschlägt eine nicht vermö- gensrechtliche Streitigkeit. Für die Bemessung der Entscheidgebühr für das Be- schwerdeverfahren ist von Gerichts- und Anwaltskosten von zusammen rund Fr. 5'000.-- auszugehen. b) Die Gerichtskosten des Beschwerdeverfahrens sind ausgangsgemäss dem Beklagten aufzuerlegen (Art. 106 Abs. 1 ZPO). c) Der Klägerin ist mangels relevanter Umtriebe im Beschwerdeverfahren keine Parteientschädigung zuzusprechen (vgl. Art. 95 Abs. 3 ZPO), dem Beklag- ten nicht, weil er unterliegt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