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PC120024 vom 16. Mai 2012</w:t>
      </w:r>
    </w:p>
    <w:p>
      <w:r>
        <w:t>ZH Obergericht, 2012-05-16, DE</w:t>
      </w:r>
    </w:p>
    <w:p>
      <w:r>
        <w:rPr>
          <w:b/>
        </w:rPr>
        <w:t xml:space="preserve">Quelle: </w:t>
      </w:r>
      <w:r>
        <w:t>https://mcp.opencaselaw.ch/entscheid/zh_obergericht_PC120024</w:t>
      </w:r>
    </w:p>
    <w:p>
      <w:r>
        <w:t>FR: ZH_OBERGERICHT PC120024 du 16 mai 2012</w:t>
      </w:r>
    </w:p>
    <w:p>
      <w:r>
        <w:t>IT: ZH_OBERGERICHT PC120024 del 16 maggio 2012</w:t>
      </w:r>
    </w:p>
    <w:p>
      <w:pPr>
        <w:pStyle w:val="Heading2"/>
      </w:pPr>
      <w:r>
        <w:t>Erwägungen</w:t>
      </w:r>
    </w:p>
    <w:p>
      <w:r>
        <w:rPr>
          <w:b/>
        </w:rPr>
        <w:t>E. 1</w:t>
      </w:r>
    </w:p>
    <w:p>
      <w:r>
        <w:t>a) Mit Urteil des Bezirksgerichts Bülach vom 18. August 2008 wurde die Ehe der Parteien geschieden und die Nebenfolgen gemäss einer vollständi- gen Vereinbarung der Parteien geregelt (Urk. 3/4/63). Am 21. Januar 2010 reichte der Kläger eine (erste) Abänderungsklage beim Bezirksgericht Bülach ein; dieses schrieb mit Verfügung vom 17. Februar 2010 das Verfahren als durch Vergleich erledigt ab (Urk. 3/8). b) Am 10. Oktober 2011 reichte der Kläger bei der Vorinstanz eine (neue) Klage auf Herabsetzung [bzw. wohl: Aufhebung] seiner Unterhaltsverpflichtung ein (Urk. 1). Nachdem der Kläger zur vorinstanzlichen Einigungsverhandlung vom 14. November 2011 nicht erschienen war (Vi-Prot. S. 3), setzte ihm die Vorinstanz mit Verfügung vom 5. Dezember 2011 Frist zur schriftlichen Klagebegründung an (Urk. 18). Da der Kläger innert Frist keine Klagebegründung einreichte, schrieb die Vorinstanz androhungsgemäss mit Verfügung vom 21. Februar 2012 die Kla- ge als gegenstandslos ab (Urk. 20 = Urk. 28). c) Am 29. Februar 2012 sandte der Kläger eine mit "Beschwerde gegen den Entscheid vom 27. Februar 2012" betitelte Eingabe an die Vorinstanz (Urk. 22 = Urk. 27). Die Vorinstanz erkannte darin ein sinngemässes Gesuch um Wie- derherstellung der Frist zur Klagebegründung, wies dieses jedoch mit Verfügung vom 12. April 2012 ab und überwies die Akten der beschliessenden Kammer zur Prüfung, ob die Eingabe als Beschwerde entgegenzunehmen sei (Urk. 29). Da nicht völlig klar erschien, dass der Kläger tatsächlich ein Rechtsmittel hatte einle- gen wollen, wurde ihm Gelegenheit zur Stellungnahme dazu gegeben (Urk. 30). Der Kläger hat sich schliesslich dahingehend vernehmen lassen, dass er habe Beschwerde einlegen wollen (Urk. 31). d) Da sich die Beschwerde sogleich als unbegründet bzw. unzulässig er- weist, kann auf die Einholung einer Beschwerdeantwort der Gegenpartei verzich- tet werden (Art. 322 Abs. 1 ZPO).</w:t>
      </w:r>
    </w:p>
    <w:p>
      <w:r>
        <w:t>- 3 -</w:t>
      </w:r>
    </w:p>
    <w:p>
      <w:r>
        <w:rPr>
          <w:b/>
        </w:rPr>
        <w:t>E. 2</w:t>
      </w:r>
    </w:p>
    <w:p>
      <w:r>
        <w:t>a) Mit der Beschwerde können unrichtige Rechtsanwendung und of- fensichtlich unrichtige Feststellung des Sachverhalts geltend gemacht werden (Art. 320 ZPO). Vorab aber hat die Beschwerdeschrift konkrete Rechtsbegehren zu enthalten – worauf schon in der vorinstanzlichen Rechtsmittelbelehrung hin- gewiesen wurde –, aus denen eindeutig hervorgeht, in welchem Umfang der vor- instanzliche Entscheid angefochten wird. b) Diesen formellen Anforderungen vermag die Beschwerdeschrift des Klägers nicht zu genügen. Sie enthält keine expliziten Rechtsbegehren und lässt offen, ob das Dispositiv des angefochtenen Entscheids als Ganzes oder allenfalls nur in Teilen aufzuheben sei. c) Auf die Beschwerde kann daher nicht eingetreten werden, ohne dass eine Nachfrist anzusetzen wäre (Sutter-Somm/Hasenböhler/Leuenberger [Hrsg.], Kommentar ZPO, N 34 f. zu Art. 311 ZPO i.V.m. N 14 zu Art. 321 ZPO).</w:t>
      </w:r>
    </w:p>
    <w:p>
      <w:r>
        <w:rPr>
          <w:b/>
        </w:rPr>
        <w:t>E. 3</w:t>
      </w:r>
    </w:p>
    <w:p>
      <w:r>
        <w:t>Aber auch wenn auf die Beschwerde einzutreten gewesen wäre, hätte sie abgewiesen werden müssen. Im Beschwerdeverfahren gilt das Rügeprinzip (Sutter-Somm/Hasenböhler/Leuenberger, a.a.O., N 15 zu Art. 321 ZPO), d.h. die Beschwerde führende Partei hat im Einzelnen darzulegen, an welchen Mängeln (unrichtige Rechtsanwendung, offensichtlich unrichtige Feststellung des Sachver- halts) der angefochtene Entscheid ihrer Ansicht nach leidet. Was nicht gerügt wird, hat Bestand. Der Kläger setzt sich jedoch in seiner Beschwerdeschrift mit den massgeblichen vorinstanzlichen Erwägungen nicht auseinander; jene Erwä- gungen – die Klage sei androhungsgemäss abzuschreiben, weil der Kläger innert Frist keine schriftliche Klagebegründung eingereicht habe – sind denn auch zu- treffend (vgl. Art. 284 Abs. 3 in Verbindung mit Art. 291 Abs. 3 ZPO; Urk. 18) und gegen die vorinstanzliche Abweisung des Gesuchs um Wiederherstellung der Frist zur Einreichung einer Klagebegründung (Urk. 25) steht, wie die Vorinstanz korrekt bemerkt hat (Urk. 25 Erw. 3), kein Rechtsmittel offen (Art. 149 ZPO). Da- mit würde es auch dann beim vorinstanzlichen Entscheid bleiben, wenn auf die Beschwerde einzutreten gewesen wäre.</w:t>
      </w:r>
    </w:p>
    <w:p>
      <w:r>
        <w:t>- 4 - Bloss ergänzend ist der Kläger darauf hinzuweisen, dass ihm die Einrei- chung einer neuen Abänderungsklage offen steht und er in jenem Verfahren dann an der Einigungsverhandlung teilnehmen bzw. eine genügende Klagebegründung einreichen kann.</w:t>
      </w:r>
    </w:p>
    <w:p>
      <w:r>
        <w:rPr>
          <w:b/>
        </w:rPr>
        <w:t>E. 4</w:t>
      </w:r>
    </w:p>
    <w:p>
      <w:r>
        <w:t>a) Die Vorinstanz und die Parteien haben sich zum Streitwert nicht geäussert. Angesichts der im Streit stehenden Unterhaltsbeiträge von insgesamt Fr. 2'950.-- pro Monat (vgl. Urk. 1) und der unbeschränkten Dauer der verlangten Reduktion ist von einem Streitwert von über Fr. 30'000.-- auszugehen. b) Die Gerichtskosten des Beschwerdeverfahrens sind ausgangsgemäss dem Kläger aufzuerlegen (Art. 106 Abs. 1 ZPO). c) Der Kläger hat kein Gesuch um unentgeltliche Rechtspflege gestellt (Urk. 27). Ein solches wäre auch zufolge Aussichtslosigkeit der Beschwerde (vgl. vorstehende Erwägungen) abzuweisen gewesen (Art. 117 lit. b ZPO). d) Der Beklagten ist mangels relevanter Umtriebe im Beschwerdeverfah- 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