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PA250025 vom 21. November 2025</w:t>
      </w:r>
    </w:p>
    <w:p>
      <w:r>
        <w:t>ZH Obergericht, 2025-11-21, DE</w:t>
      </w:r>
    </w:p>
    <w:p>
      <w:r>
        <w:rPr>
          <w:b/>
        </w:rPr>
        <w:t xml:space="preserve">Quelle: </w:t>
      </w:r>
      <w:r>
        <w:t>https://mcp.opencaselaw.ch/entscheid/zh_obergericht_PA250025</w:t>
      </w:r>
    </w:p>
    <w:p>
      <w:r>
        <w:t>FR: ZH_OBERGERICHT PA250025 du 21 novembre 2025</w:t>
      </w:r>
    </w:p>
    <w:p>
      <w:r>
        <w:t>IT: ZH_OBERGERICHT PA250025 del 21 novembre 2025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Während des Beschwerdeverfahrens erging der Unterbringungsent- scheid der Erwachsenenschutzbehörde (Art. 426 und Art. 428 ZGB). Mit Zirkulati- onsbeschluss der Kindes- und Erwachsenenschutzbehörde der Stadt Zürich (fortan KESB) vom 3. November 2025 wurde die weitere Unterbringung der Beschwerde- führerin in der PUK angeordnet und es wurde davon Vormerk genommen, dass die Zuständigkeit für die Entlassung aus der fürsorgerischen Unterbringung bei der KESB liege (act. 16 S. 8).</w:t>
      </w:r>
    </w:p>
    <w:p>
      <w:r>
        <w:rPr>
          <w:b/>
        </w:rPr>
        <w:t>E. 3</w:t>
      </w:r>
    </w:p>
    <w:p>
      <w:r>
        <w:t>Die vorerwähnte Anordnung der fürsorgerischen Unterbringung durch die KESB (Erw. 2) ersetzte die ärztlich verfügte fürsorgerische Unterbringung vom</w:t>
      </w:r>
    </w:p>
    <w:p>
      <w:r>
        <w:rPr>
          <w:b/>
        </w:rPr>
        <w:t>E. 7</w:t>
      </w:r>
    </w:p>
    <w:p>
      <w:r>
        <w:t>Oktober 2025. Letztere - auf sechs Wochen befristete Massnahme - fiel abgese- hen davon am 17. November 2025 ohne Weiteres dahin (42 Tage ab 7. Oktober 2025; Art. 429 Abs. 1 ZGB i.V.m. § 29 Abs. 1 EG KESR).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