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PA220041 vom 1. September 2022</w:t>
      </w:r>
    </w:p>
    <w:p>
      <w:r>
        <w:t>ZH Obergericht, 2022-09-01, DE</w:t>
      </w:r>
    </w:p>
    <w:p>
      <w:r>
        <w:rPr>
          <w:b/>
        </w:rPr>
        <w:t xml:space="preserve">Quelle: </w:t>
      </w:r>
      <w:r>
        <w:t>https://mcp.opencaselaw.ch/entscheid/zh_obergericht_PA220041</w:t>
      </w:r>
    </w:p>
    <w:p>
      <w:r>
        <w:t>FR: ZH_OBERGERICHT PA220041 du 1 septembre 2022</w:t>
      </w:r>
    </w:p>
    <w:p>
      <w:r>
        <w:t>IT: ZH_OBERGERICHT PA220041 del 1 settembre 2022</w:t>
      </w:r>
    </w:p>
    <w:p>
      <w:pPr>
        <w:pStyle w:val="Heading2"/>
      </w:pPr>
      <w:r>
        <w:t>Erwägungen</w:t>
      </w:r>
    </w:p>
    <w:p>
      <w:r>
        <w:rPr>
          <w:b/>
        </w:rPr>
        <w:t>E. 1</w:t>
      </w:r>
    </w:p>
    <w:p>
      <w:r>
        <w:t>Die Kindes- und Erwachsenenschutzbehörde des Bezirks Hinwil (KESB) ordnete mit Entscheid vom 24. Mai 2022 die Verlängerung der bestehenden für- sorgerischen Unterbringung von A._____ (nachfolgend Beschwerdeführerin) in der Klinik C._____ in Chur an, unter Verbleib der Entlassungskompetenz bei der KESB (act. 3). Zwischenzeitlich wurde die Beschwerdeführerin in die Psychiatri- sche Klinik B._____ AG verlegt (act. 5 und act. 6). Am 21. Juli 2022 gelangte die Beschwerdeführerin an das Einzelgericht des Be- zirksgerichtes Meilen, erhob Beschwerde gegen den Entscheid der KESB (vom 24. Mai 2022) und ersuchte sinngemäss um Entlassung aus der Klinik (act. 1). Mit Verfügung vom 21. Juli 2022 trat das Einzelgericht auf das Gesuch nicht ein und überwies die Eingabe der Beschwerdeführerin an das Bezirksgericht Hinwil sowie an die KESB (act. 10 = act. 15).</w:t>
      </w:r>
    </w:p>
    <w:p>
      <w:r>
        <w:rPr>
          <w:b/>
        </w:rPr>
        <w:t>E. 2</w:t>
      </w:r>
    </w:p>
    <w:p>
      <w:r>
        <w:t>Gegen diesen Entscheid erhob die Beschwerdeführerin mit Eingabe vom 25. August 2022 Beschwerde bei der II. Zivilkammer des Obergerichts des Kan- tons Zürich (act. 16). Sie verlangt sinngemäss die Aufhebung des angefochtenen Entscheides und die Gutheissung der Beschwerde gegen den KESB-Entscheid bzw. des Entlassungsgesuchs. Die Beschwerde enthält im Wesentlichen Ausfüh- rungen zum Entlassungswunsch (act. 16). Eine Auseinandersetzung mit dem an- gefochtenen Entscheid findet nicht statt. Die Beschwerde ist deshalb unbegrün- det, was allerdings zulässig ist (vgl. dazu Art. 450e Abs. 1 ZGB). Der angefochte- ne Entscheid wurde der Beschwerdeführerin indes bereits am 25. Juli 2022 zuge- stellt (act. 13/1). Die zehntägige Frist zur Erhebung der Beschwerde (Art. 450b Abs. 2 ZGB i.V.m.§ 40 EG KESR) begann somit am darauffolgenden Tag zu lau- fen und endete mangels Fristenstillstand in Summarverfahren gemäss Hinweis in der Rechtsmittelbelehrung des angefochtenen Entscheids am Donnerstag,</w:t>
      </w:r>
    </w:p>
    <w:p>
      <w:r>
        <w:rPr>
          <w:b/>
        </w:rPr>
        <w:t>E. 4</w:t>
      </w:r>
    </w:p>
    <w:p>
      <w:r>
        <w:t>Umständehalber sind für das obergerichtliche Verfahren keine Kosten zu er- 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