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PA200022 vom 26. Mai 2020</w:t>
      </w:r>
    </w:p>
    <w:p>
      <w:r>
        <w:t>ZH Obergericht, 2020-05-26, DE</w:t>
      </w:r>
    </w:p>
    <w:p>
      <w:r>
        <w:rPr>
          <w:b/>
        </w:rPr>
        <w:t xml:space="preserve">Quelle: </w:t>
      </w:r>
      <w:r>
        <w:t>https://mcp.opencaselaw.ch/entscheid/zh_obergericht_PA200022</w:t>
      </w:r>
    </w:p>
    <w:p>
      <w:r>
        <w:t>FR: ZH_OBERGERICHT PA200022 du 26 mai 2020</w:t>
      </w:r>
    </w:p>
    <w:p>
      <w:r>
        <w:t>IT: ZH_OBERGERICHT PA200022 del 26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Rechtsanwalt lic. iur. X._____ wurde mit Entscheid (Verfügung und Urteil) vom 22. April 2020 des Bezirksgerichtes Zürich, 10. Abteilung, Einzelgericht für das Verfahren betreffend Fürsorgerische Unterbringung als unentgeltli- cher Rechtsbeistand von A._____ bestellt und mit Fr. 704.76 (Bemühungen Fr. 649.–, Barauslagen Fr. 5.38, 7.7% MwSt Fr. 50.38) entschädigt (act. 26). Diesen Entscheid ficht der Rechtsbeistand namens des Beschwerdeführers an und verlangt (act. 27 S. 2): "1. Dispositivziffer 2 des Urteils des Einzelrichters am Bezirksgericht Zürich vom 22. April 2020 sei aufzuheben und die Entschädigung des un- entgeltlichen Rechtsbeistandes sei unter Berücksichtigung eines Stunden- ansatzes von Fr. 250.– festzusetzen.</w:t>
      </w:r>
    </w:p>
    <w:p>
      <w:r>
        <w:rPr>
          <w:b/>
        </w:rPr>
        <w:t>E. 2</w:t>
      </w:r>
    </w:p>
    <w:p>
      <w:r>
        <w:t>Der Entscheid über die Entschädigung des unentgeltlichen Rechtsbeistands nach Art. 122 Abs. 1 lit. a ZPO stellt als Bestandteil der Liquidation der Pro- zesskosten einen Kostenentscheid nach Art. 110 ZPO dar. Die Entschädi- gung steht dem Anwalt persönlich und nicht der Partei zu. Dem unentgeltli- chen Rechtsbeistand, der die Höhe des ihm zugesprochenen Honorars an- fechten will, steht die Beschwerde nach Art. 319 ff. ZPO offen (STAEHE- LIN/STAEHELIN/GROLIMUND, Zivilprozessrecht, 3. Auflage, § 16 Rz. 70 und § 26 Rz. 30; ZK ZPO-FREIBURGHAUS/AFHELDT, 3. Auflage, Art. 321 N 9; BSK ZPO- RÜEGG/RÜEGG, 3. Auflage, Art. 110 N 2). Der Anwalt erklärt Be- schwerde allerdings ausdrücklich nicht im eigenen Namen, sondern in dem des Klienten (und verlangt auch für diesen die unentgeltliche Prozessfüh- rung). Der Klient ist zur Beschwerde aber nicht legitimiert und hat auch kein</w:t>
      </w:r>
    </w:p>
    <w:p>
      <w:r>
        <w:t>- 3 - Interesse an einem höheren Honorar seines Vertreters (Art. 59 ZPO). Auf die Beschwerde ist nicht einzutreten.</w:t>
      </w:r>
    </w:p>
    <w:p>
      <w:r>
        <w:rPr>
          <w:b/>
        </w:rPr>
        <w:t>E. 3</w:t>
      </w:r>
    </w:p>
    <w:p>
      <w:r>
        <w:t>Die Beschwerde wäre abzuweisen, wenn darauf einzutreten wäre: Die Ent- schädigung bemisst sich nach dem anwendbaren Tarif nicht nach "Ansatz mal Stunden", sondern nach einer Pauschale (vgl. § 7 AnwGebVO). Diese ist zwar darauf hin zu prüfen, ob sie zu einem vertretenbaren Stundenansatz führt. Das wäre hier mit Fr. 220.-- der Fall.</w:t>
      </w:r>
    </w:p>
    <w:p>
      <w:r>
        <w:rPr>
          <w:b/>
        </w:rPr>
        <w:t>E. 4</w:t>
      </w:r>
    </w:p>
    <w:p>
      <w:r>
        <w:t>Umständehalber sind für diesen Entscheid keine Kosten zu erheben (denn wenn, müssten sie nach Art. 108 ZPO zu Lasten des Anwaltes gehen). Da- mit wird das Gesuch um Gewährung der unentgeltlichen Rechtspflege für das Beschwerdeverfahren gegenstandslos. Es erwiese sich im Übrigen nach dem Gesagten ohne weiteres als aussichtslos, weshalb das Gesuch um Be- stellung eines unentgeltlichen Rechtsvertreters für das Beschwerdeverfah- ren abzuweisen ist.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