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PA190032 vom 15. Oktober 2019</w:t>
      </w:r>
    </w:p>
    <w:p>
      <w:r>
        <w:t>ZH Obergericht, 2019-10-15, DE</w:t>
      </w:r>
    </w:p>
    <w:p>
      <w:r>
        <w:rPr>
          <w:b/>
        </w:rPr>
        <w:t xml:space="preserve">Quelle: </w:t>
      </w:r>
      <w:r>
        <w:t>https://mcp.opencaselaw.ch/entscheid/zh_obergericht_PA190032</w:t>
      </w:r>
    </w:p>
    <w:p>
      <w:r>
        <w:t>FR: ZH_OBERGERICHT PA190032 du 15 octobre 2019</w:t>
      </w:r>
    </w:p>
    <w:p>
      <w:r>
        <w:t>IT: ZH_OBERGERICHT PA190032 del 15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13. September 2019 wurde der 43-jährige A._____ (nachfolgend Be- schwerdeführer) mittels ärztlich angeordneter fürsorgerischer Unterbringung in die … Privatklinik B._____ eingewiesen (act. 3; act. 4). Seine Beschwerde gegen die fürsorgerische Unterbringung wies das Einzelgericht des Bezirksgerichts Meilen nach durchgeführter Hauptverhandlung mit Entscheid vom 24. September 2019 ab (vgl. act. 13 = act. 16).</w:t>
      </w:r>
    </w:p>
    <w:p>
      <w:r>
        <w:rPr>
          <w:b/>
        </w:rPr>
        <w:t>E. 2</w:t>
      </w:r>
    </w:p>
    <w:p>
      <w:r>
        <w:t>Die Vorinstanz leitete der Kammer mit Schreiben vom 2. Oktober 2019 (Da- tum Poststempel) einen Empfangsschein sowie den vorinstanzlichen Entscheid je mit handschriftlichen Anmerkungen des Beschwerdeführers weiter, mit der Bitte um Prüfung, ob damit ein Rechtsmittel gegen den vorinstanzlichen Entscheid er- hoben worden war (act. 17; act. 18). Mit Schreiben vom 3. Oktober 2019 wurde der Beschwerdeführer darauf aufmerksam gemacht, dass diese Eingaben als Be- schwerden gegen den Entscheid vom 24. September 2019 entgegen genommen worden seien und er seine Beschwerde bis zum Ablauf der Rechtsmittelfrist am</w:t>
      </w:r>
    </w:p>
    <w:p>
      <w:r>
        <w:rPr>
          <w:b/>
        </w:rPr>
        <w:t>E. 7</w:t>
      </w:r>
    </w:p>
    <w:p>
      <w:r>
        <w:t>Oktober 2019 ergänzen könne (act. 19). Mit Schreiben vom 5. Oktober 2019, hierorts eingegangen am 9. Oktober 2019, zog der Beschwerdeführer seine Be- schwerde zurück (act. 20). Das Verfahren ist entsprechend abzuschreiben. 3. Umständehalber sind für das Beschwerdeverfahren keine Kosten zu erhe- ben. Eine Parteientschädigung ist nicht zuzusprechen.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