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PA190007 vom 5. März 2019</w:t>
      </w:r>
    </w:p>
    <w:p>
      <w:r>
        <w:t>ZH Obergericht, 2019-03-05, DE</w:t>
      </w:r>
    </w:p>
    <w:p>
      <w:r>
        <w:rPr>
          <w:b/>
        </w:rPr>
        <w:t xml:space="preserve">Quelle: </w:t>
      </w:r>
      <w:r>
        <w:t>https://mcp.opencaselaw.ch/entscheid/zh_obergericht_PA190007</w:t>
      </w:r>
    </w:p>
    <w:p>
      <w:r>
        <w:t>FR: ZH_OBERGERICHT PA190007 du 5 mars 2019</w:t>
      </w:r>
    </w:p>
    <w:p>
      <w:r>
        <w:t>IT: ZH_OBERGERICHT PA190007 del 5 marzo 2019</w:t>
      </w:r>
    </w:p>
    <w:p>
      <w:pPr>
        <w:pStyle w:val="Heading2"/>
      </w:pPr>
      <w:r>
        <w:t>Erwägungen</w:t>
      </w:r>
    </w:p>
    <w:p>
      <w:r>
        <w:rPr>
          <w:b/>
        </w:rPr>
        <w:t>E. 2</w:t>
      </w:r>
    </w:p>
    <w:p>
      <w:r>
        <w:t>Der angefochtene Entscheid konnte der Beschwerdeführerin nicht zugestellt werden, weil sie unter der fraglichen Adresse nicht ermittelt werden konnte (act. 4/2). Bei dieser Adresse handelt es sich um diejenige, welche die Beschwer- deführerin selbst in ihrer Eingabe vom 30. Januar 2019 an die Vorinstanz aufge- führt hatte (vgl. act. 1). Ist eine Partei während eines hängigen Verfahrens unter</w:t>
      </w:r>
    </w:p>
    <w:p>
      <w:r>
        <w:t>- 3 - der den Behörden bekanntgegebenen Adresse nicht mehr zu erreichen, ohne den Behörden zu melden, wo sie neu erreichbar ist, gilt die an der bisherigen Adresse erfolglos versuchte Zustellung als erfolgt. Vorausgesetzt ist dafür jedoch, dass mit der Zustellung mit einer gewissen Wahrscheinlichkeit zu rechnen war (BGE 107 V 187 E. 2; BGE 97 III 7 E. 1). Das war hier offensichtlich der Fall. Damit gilt der an- gefochtene Entscheid der Beschwerdeführerin am 6. Februar 2019 (vgl. act. 4/2) als zugestellt, weil sie aufgrund der von ihr selbst erhobenen Beschwerde mit Zu- stellungen des Gerichts rechnen musste.</w:t>
      </w:r>
    </w:p>
    <w:p>
      <w:r>
        <w:rPr>
          <w:b/>
        </w:rPr>
        <w:t>E. 3</w:t>
      </w:r>
    </w:p>
    <w:p>
      <w:r>
        <w:t>Die zehntägige Frist für die Beschwerde an die Rechtsmittelinstanz lief dem- zufolge am 18. Februar 2019 ab (vgl. Art. 450b Abs. 2 ZGB). Die erst am 22. Feb- ruar 2019 aufgegebene Eingabe vom 4. Februar 2019 erweist sich daher als ver- spätet, weshalb auf das Rechtsmittel nicht einzutreten ist.</w:t>
      </w:r>
    </w:p>
    <w:p>
      <w:r>
        <w:rPr>
          <w:b/>
        </w:rPr>
        <w:t>E. 4</w:t>
      </w:r>
    </w:p>
    <w:p>
      <w:r>
        <w:t>Auch wenn die Beschwerde rechtzeitig erhoben worden wäre, wäre darauf nicht einzutreten gewesen. Die Vorinstanz schrieb das Verfahren nämlich zu Recht als gegenstandslos geworden ab, weil sich die Beschwerdeführerin bereits nicht mehr in der verfahrensbeteiligten Klinik aufhielt (vgl. act. 7 und act. 2). Ent- sprechend hat die Beschwerdeführerin auch kein Rechtsschutzinteresse mehr an einer Beschwerde an die Kammer, mit der sie die Aufhebung der fürsorgerischen Unterbringung anstrebt. Zur Behandlung der von der Beschwerdeführerin geltend gemachten Schadenersatzansprüche gegen die KESB (vgl. act. 9 S. 6) wäre die Kammer im vorliegenden Beschwerdeverfahren im Übrigen nicht zuständig (vgl. § 19 Abs. 1 lit. a, § 20 Abs. 1 und § 22 Abs. 1 lit. a HG).</w:t>
      </w:r>
    </w:p>
    <w:p>
      <w:r>
        <w:rPr>
          <w:b/>
        </w:rPr>
        <w:t>E. 5</w:t>
      </w:r>
    </w:p>
    <w:p>
      <w:r>
        <w:t>Umständehalber sind keine Kosten zu erheben. Parteientschädigungen sind zufolge Unterliegens der Beschwerdeführerin keine zuzusprechen (vgl.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