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PA130016 vom 24. Mai 2013</w:t>
      </w:r>
    </w:p>
    <w:p>
      <w:r>
        <w:t>ZH Obergericht, 2013-05-24, DE</w:t>
      </w:r>
    </w:p>
    <w:p>
      <w:r>
        <w:rPr>
          <w:b/>
        </w:rPr>
        <w:t xml:space="preserve">Quelle: </w:t>
      </w:r>
      <w:r>
        <w:t>https://mcp.opencaselaw.ch/entscheid/zh_obergericht_PA130016</w:t>
      </w:r>
    </w:p>
    <w:p>
      <w:r>
        <w:t>FR: ZH_OBERGERICHT PA130016 du 24 mai 2013</w:t>
      </w:r>
    </w:p>
    <w:p>
      <w:r>
        <w:t>IT: ZH_OBERGERICHT PA130016 del 24 maggio 2013</w:t>
      </w:r>
    </w:p>
    <w:p>
      <w:pPr>
        <w:pStyle w:val="Heading2"/>
      </w:pPr>
      <w:r>
        <w:t>Erwägungen</w:t>
      </w:r>
    </w:p>
    <w:p>
      <w:r>
        <w:rPr>
          <w:b/>
        </w:rPr>
        <w:t>E. 2</w:t>
      </w:r>
    </w:p>
    <w:p>
      <w:r>
        <w:t>Am 1. Januar 2013 ist das neue Kindes- und Erwachsenenschutzrecht (KESR) in Kraft getreten, was u.a. zu einer Revision des ZGB hinsichtlich des Vormundschaftsrechts führte (zweiter Teil, dritte Abteilung ZGB), das neu den Ti- tel "der Erwachsenenschutz" trägt. Revidiert wurden damit auch die altrechtlichen Bestimmungen über die fürsorgerische Freiheitsentziehung gemäss aArt. 397a ff. ZGB. Unter dem Titel der fürsorgerischen Unterbringung wird diese behördliche Massnahme des Erwachsenenschutzes neu in den Art. 426 bis 439 ZGB geregelt. Das Obergericht ist gemäss § 64 EG KESR (wie bereits unter altem Recht) zur zweitinstanzlichen Behandlung der Beschwerde zuständig (vgl. dazu OGerZH NA130001 Erw. 1.2.1 vom 15. Januar 2013). Die Beschwerde ist innert der 10- tägigen Frist von Art. 450b Abs. 2 ZGB beim Obergericht schriftlich einzureichen. Eine Begründung ist nicht erforderlich (Art. 450 Abs. 3, Art. 450e Abs. 1 ZGB). Ist die Beschwerde unbegründet, wird auf Grund der Akten entschieden. Wie bis an- hin kommt dem Rechtsmittel keine aufschiebende Wirkung zu (Art. 450e Abs. 2 ZGB). 3.1 Wie die Vorinstanz richtig und einlässlich ausgeführt hat (vgl. act. 18 S. 4 f.), darf eine Person, die an einer psychischen Störung oder an geistiger Be- hinderung leidet oder schwer verwahrlost ist, in einer geeigneten Einrichtung un- tergebracht werden, wenn die nötige Behandlung oder Betreuung nicht anders er- folgen kann (Art. 426 Abs. 1 ZGB). Die Belastung und der Schutz von Angehöri- gen und Dritten sind zu berücksichtigen (Art. 426 Abs. 2 ZGB). Die betroffene Person wird entlassen, sobald die Voraussetzungen für die Unterbringung nicht mehr erfüllt sind (Art. 426 Abs. 3 ZGB). 3.2 Gestützt auf die Darlegungen des gerichtlichen Gutachters (act. 11), die Ausführungen der Vertreter der Klinik (Prot. I S. 10 ff.), die (übrigen) Akten sowie aufgrund der Ausführungen des Beschwerdeführers anlässlich der Haupt- verhandlung (Prot. I S. 8 ff., 12 f.) gelangte die Vorinstanz zum Schluss, dass der Beschwerdeführer leide gegenwärtig an einer maniformen Exazerbation einer bi- polaren Affektpsychose, mithin an einem Schwächezustand im Sinne des Geset- zes. Obschon eine gewisse Verbesserung des Gesundheitszustandes des Be- schwerdeführers eingetreten sei, müsse mit dem Gutachter und der Klinik davon</w:t>
      </w:r>
    </w:p>
    <w:p>
      <w:r>
        <w:t>- 4 - gegangen werden, dass noch keine ausreichende Remission der Krankheit einge- treten sei. Aufgrund der Akten, des Gutachtens und auch des Eindrucks, welchen der Beschwerdeführer anlässlich der Verhandlung hinterlassen habe, sei dieser zurzeit nicht in der Lage, seine allgemeine Lebenssituation selber zu meistern und sich ausserhalb des stationären Rahmens der Klinik die notwendige persönliche Fürsorge angedeihen zu lassen. Bei einer sofortigen Entlassung bestünde die Ge- fahr einer Verschlechterung des manischen Zustandes und sei die Weiterführung der Medikation unsicher. Zudem bestünde ein Risiko für selbstgefährdende Hand- lungen und wäre mit einer Belastung oder einer Gefährdung des sozialen Umfelds zu rechnen. Der Gesundheitszustand des Beschwerdeführers würde sehr schnell wieder zu einer Situation führen, wie sie beim Zeitpunkt der Aufnahme bestanden habe, und es wäre mit hoher Wahrscheinlichkeit mit einer neuen Einweisung in- nert weniger Tagen zu rechnen. Aufgrund der geschilderten Umstände stehe fest, dass ein ambulantes Setting zur Zeit für die Behandlung und Betreuung des Be- schwerdeführers nicht ausreichend sei. Erschwerend komme dazu, dass die Wohnsituation des Beschwerdeführers zur Zeit nicht geklärt sei und es im schlimmsten Falle zu einer Entlassung auf die Strasse käme. Die Klinik und deren Behandlungskonzept seien sodann geeignet, und es könne davon ausgegangen werden, dass bei fortdauernder Behandlung mittels geeigneter Medikation eine weitere Remission des Krankheitsbildes eintreten könne (act. 18 S. 8 f.). 3.3 Mit der Beschwerde macht der Beschwerdeführer im Kern geltend, er habe nun eingesehen, dass er bei seinem Vermieter nicht weiter wohnen könne. Sein Beistand sei zur Zeit mit seinem Vermieter im Gespräch, um die Kündi- gungsfrist seiner jetzigen Wohnung zu klären. In den Stunden, welche er täglich zur Verfügung gestellt bekomme, habe er versucht, einige Wohnungen zu besich- tigen. Da jedoch der freie Ausgang nur zwei Stunden betrage, habe er seine Wunschwohnungen nicht besichtigen können. Seine Medikation sei dahingehend angepasst worden, dass er nun kein Zyprexa mehr nehme, sondern 1800 mg Or- firil und 6 mg Invega. Dies ermögliche ihm, auf dem freien Wohnungsmarkt eine Wohnung oder ein Zimmer in einer Wohngemeinschaft zu suchen. Dafür müsse er aus der Klinik entlassen werden, so dass er Zeit und finanzielle Mittel erhalte (act. 19).</w:t>
      </w:r>
    </w:p>
    <w:p>
      <w:r>
        <w:t>- 5 - 4.1 Die Darlegungen des gerichtlichen Gutachters (act. 11; act. 18 S. 6 f.) sind schlüssig, wohl begründet und insgesamt überzeugend. Sie stehen, wie die Vorinstanz zutreffend festgehalten hat (act. 18 S. 7 f.), mit den Ausführungen der Klinikvertreter (Prot. I S. 10 ff.), der Krankengeschichte, dem Einweisungszeugnis (act. 7 und 8) und dem Entscheid der KESB Meilen (act. 10) in Einklang. Gestützt darauf hat die Vorinstanz das Vorliegen eines Schwächezustandes im Sinne von Art. 426 Abs. 1 ZGB, nämlich eine psychischen Störung im Sinne einer manifor- men Exazerbation einer bipolaren Affektpsychose, zu Recht bejaht. Der Be- schwerdeführer bringt in der Beschwerde nichts vor, das die Annahme rechtferti- gen könnte, sein gesundheitlicher Zustand habe sich zwischenzeitlich verbessert. Anhaltspunkte dafür, dass seit Erlass des angefochtenen Urteils in dieser Hinsicht relevante Änderungen eingetreten sind, sind nicht ersichtlich. 4.2 Die fürsorgerische Unterbringung dient dem Schutz der betroffenen Person. Voraussetzung ist deshalb immer, dass der Betroffene eines besonderen Schutzes bedarf, der nur mit einer Freiheitsentziehung erbracht werden kann (vgl. BSK Erwachsenenschutz-Geiser/Etzensberger, Art. 426 N 8). Die (Anpassung der) Medikation ficht der Beschwerdeführer nicht an (vgl. auch act. 7 S. 3). Ob er die verordneten Medikamente auch im Falle einer Entlas- sung nehmen würde, steht freilich dahin. Der Beschwerdeführer hat sodann er- kannt, dass er nicht in seiner jetzigen Wohnung bleiben kann, und er ist daran, ei- ne neue Bleibe zu finden, wobei sich die Suche nach seinen eigenen Angaben nicht einfach gestaltet. Dabei ist anzumerken, dass der Vermieter des Beschwer- deführers das Mietverhältnis gekündigt hat und der Beschwerdeführer die Woh- nung per Ende Mai 2013 räumen muss (vgl. act. 7 S. 3; Prot. I S. 11). Er verlangt seine Entlassung, um Zeit für die Wohnungssuche zu haben und finanzielle Mittel dafür zu erhalten. Wo er aber wohnen würde, bis er eine für ihn geeignete Woh- nung gefunden hätte, erklärt er nicht. Die sofortige Entlassung des Beschwerdeführers aus der Klinik käme somit – die Beschwerde bekräftigt die Erwägung der Vorinstanz – einer Entlassung auf die Strasse gleich. Zudem ist die Weiterführung der Medikation ausserhalb der Klinik nicht gesichert (vgl. auch act. 11 S. 6) und bestünde daher die Gefahr einer</w:t>
      </w:r>
    </w:p>
    <w:p>
      <w:r>
        <w:t>- 6 - Verschlechterung des Gesundheitszustandes des Beschwerdeführers. Sein Zu- stand und Verhalten würden – so ist mit der Vorinstanz zu befürchten – sehr schnell wieder zu einer Situation führen, wie sie beim Zeitpunkt der Aufnahme be- standen hat – mit dem erheblichen Risiko für selbstgefährdende Handlungen und der Belastung des sozialen Umfelds, was wiederum mit grosser Wahrscheinlich- keit zu einer erneuten Einweisung innert kurzer Zeit führen würde. Der Beschwer- deführer ist deshalb (nach wie vor) schutz- und betreuungsbedürftig. 4.3 Die Klinik B._____ gewährleistet die medikamentöse und therapeuti- sche Behandlung des Beschwerdeführers (vgl. act. 11 S. 4; act. 18 S. 9). Die ge- nannte Klinik erscheint daher ohne Weiteres als geeignet, um die notwendige Fürsorge für den Beschwerdeführer zu erbringen. 4.4 Mangels genügender Stabilisierung seines gesundheitlichen Zustands und mangels Lösung seiner Wohnsituation kann dem Beschwerdeführer die nöti- ge persönliche Fürsorge aktuell nur im Rahmen einer stationären Unterbringung erwiesen werden. Die fürsorgerische Unterbringung ist daher auch verhältnismäs- sig.</w:t>
      </w:r>
    </w:p>
    <w:p>
      <w:r>
        <w:rPr>
          <w:b/>
        </w:rPr>
        <w:t>E. 5</w:t>
      </w:r>
    </w:p>
    <w:p>
      <w:r>
        <w:t>Im Ergebnis ist festzuhalten, dass die Vorinstanz das Entlassungsge- such des Beschwerdeführers zu Recht abgewiesen hat. Die Voraussetzungen ei- ner fürsorgerischen Unterbringung sind nach dem Dargelegten auch im heutigen Zeitpunkt noch gegeben. Die Beschwerde erweist sich als unbegründet. Sie ist abzuweisen.</w:t>
      </w:r>
    </w:p>
    <w:p>
      <w:r>
        <w:rPr>
          <w:b/>
        </w:rPr>
        <w:t>E. 6</w:t>
      </w:r>
    </w:p>
    <w:p>
      <w:r>
        <w:t>In Anwendung von § 5 Abs. 1 GebV OG ist die Entscheidgebühr auf Fr. 500.-- festzusetzen. Wie für das erstinstanzliche Verfahren (vgl. act. 18 Dispo- sitiv-Ziff. 3) ist dem Beschwerdeführer auch für das Rechtsmittelverfahren die un- entgeltliche Rechtspflege zu bewilligen. Eine Nachzahlung gemäss Art. 123 ZPO bleibt vorbehalten.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