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NR040021 vom 11. Mai 2004</w:t>
      </w:r>
    </w:p>
    <w:p>
      <w:r>
        <w:t>ZH Obergericht, 2004-05-11, DE</w:t>
      </w:r>
    </w:p>
    <w:p>
      <w:r>
        <w:rPr>
          <w:b/>
        </w:rPr>
        <w:t xml:space="preserve">Quelle: </w:t>
      </w:r>
      <w:r>
        <w:t>https://mcp.opencaselaw.ch/entscheid/zh_obergericht_NR040021</w:t>
      </w:r>
    </w:p>
    <w:p>
      <w:r>
        <w:t>FR: ZH_OBERGERICHT NR040021 du 11 mai 2004</w:t>
      </w:r>
    </w:p>
    <w:p>
      <w:r>
        <w:t>IT: ZH_OBERGERICHT NR040021 del 11 maggio 2004</w:t>
      </w:r>
    </w:p>
    <w:p>
      <w:pPr>
        <w:pStyle w:val="Heading2"/>
      </w:pPr>
      <w:r>
        <w:t>Erwägungen</w:t>
      </w:r>
    </w:p>
    <w:p>
      <w:r>
        <w:rPr>
          <w:b/>
        </w:rPr>
        <w:t>E. 2</w:t>
      </w:r>
    </w:p>
    <w:p>
      <w:r>
        <w:t>Die Beschwerdeführerin führt in ihrer Rekursschrift abermals breit aus, dass RA W. grossen Einfluss auf die entsprechenden Konkursverfahren genom- men habe, er die Interessen von M. und der von diesem beherrschten Gesell- schaften vertrete und deshalb nicht neutral sei (...). All dies ist unbestritten und die Vorinstanz hat sich mit diesen Vorbringen in zutreffender Weise auseinanderge- setzt. Unrichtig ist die Darstellung der Beschwerdeführerin, dass sich die Vorin- stanz auf den Standpunkt gestellt habe, die Einflussnahme von RA W. auf die Konkursverfahren stehe deshalb einer unabhängigen und unparteiischen Verfah- rensführung nicht entgegen, weil RA W. als Interessenvertreter der M.-Gruppe Gläubigerforderungen im Umfang von 99 % vertrete (...). Die Vorinstanz hat ledig- lich ausgeführt, dass die Mandatierung von RA W. einer Erzielung eines möglichst guten Verwertungsergebnisses zugunsten aller Gläubiger nicht entgegenstehe. (...). Im Übrigen ist es vorliegend auch nicht entscheidend, ob die M.-Gruppe die überwiegende Mehrheit der Forderungen vertritt oder nicht. Entscheidend ist vielmehr die nachfolgenden Erwägung der Vorinstanz, welche die Beschwerde- führerin geflissentlich übergeht, nämlich, dass keinerlei Anhaltspunkte dafür vor- liegen, dass die Beschwerdegegnerin und damit insbesondere auch der zuständi- ge Konkursbeamte nicht über die nötige Kompetenz und Eigenständigkeit verfü- gen würden. Dem ist beizupflichten. Der Umstand, dass ein Gläubiger der Kon- kursverwaltung seine Sicht der Dinge darlegt und dies aufgrund eines kollegialen Verhältnisses in Du-Form erfolgt (...), führt nicht automatisch zu einer Befangen- heit der Konkursverwaltung. Vorliegend war es denn auch nicht etwa so, dass nur RA W. der Konkursverwaltung seine Sicht dargelegt hätte (...). Falsch ist auch die Behauptung der Beschwerdeführerin, nach Ansicht der Vorinstanz seien die frag- lichen Konkursverfahren materiell durch die Vertreter der M.-Gruppe geführt wor- den (...). Die Vorinstanz hat ganz im Gegenteil zu Recht festgehalten, dass alle materiellen Entscheide vorschriftsgemäss und unter Wahrung der Interessen der</w:t>
      </w:r>
    </w:p>
    <w:p>
      <w:r>
        <w:t>Konkursmasse und der Gläubigergesamtheit durch die zuständige Konkursver- waltung gefällt wurden. Die Beschwerdeführerin gibt aber nicht nur die Erwägungen der Vorinstanz falsch wieder, sondern gelangt darüber hinaus in einem "Umkehrschluss" zum Ergebnis, dass eine unabhängige und unparteiische Verfahrensführung dann nicht gewährleistet wäre, wenn die M.-Gruppe nicht die Gläubigermehrheit dar- stellen würde (...). Ein Beizug von RA W. würde indes auch dann nicht zum Vorn- herein den Anschein einer Befangenheit der Beschwerdegegnerin erwecken, wenn RA W. lediglich Vertreter eines Gläubigers wäre. (..) Es ist an dieser Stelle nochmals darauf hinzuweisen, dass auf den beigezogenen Rechtsvertreter Art. 10 SchKG keine Anwendung finden kann. Zudem erscheint es als sinnvoll, wenn mit der Vertretung der Konkursmasse ein Rechtsanwalt beauftragt wird, der bereits über Vorkenntnisse in der Sache verfügt. Dass RA W. lediglich aufgrund des freundschaftlichen Verhältnisses zwischen ihm und dem Konkursbeamten beauf- tragt worden sei, macht die Beschwerdeführerin (zu Recht) nicht geltend. Im Übri- gen ist auch nicht einzusehen, wie RA W. bei der prozessualen Geltendmachung von Ansprüchen der Konkursmasse einzelne Konkursgläubiger bevorteilen könn- te, da das Prozessergebnis ja der Masse zugute kommt.</w:t>
      </w:r>
    </w:p>
    <w:p>
      <w:r>
        <w:rPr>
          <w:b/>
        </w:rPr>
        <w:t>E. 7</w:t>
      </w:r>
    </w:p>
    <w:p>
      <w:r>
        <w:t>Zusammenfassend erscheint die Beschwerdegegnerin in den fragli- chen Konkursverfahren nicht als befangen, weshalb sich keine aufsichtsrechtli- chen Massnahmen aufdrängen. Dass die Beauftragung von RA W. nicht nichtig im Sinne von Art. 22 SchKG sein kann, wurde bereits ausgeführt. Nach dem Ge- sagten gibt es auch keinen Grund für einen Widerruf des erteilten Auftrages an RA W. Die entsprechenden Begehren der Beschwerdeführerin sind daher abzu- weisen. Vl. Bezüglich der Anfechtung des Nichteintretensentscheides sind keine Kosten zu erheben (Art. 20a Abs. 1 SchKG). In Bezug auf den Aufsichtsrekurs finden die kantonalen Kostenbestimmungen Anwendung (§ 111 GVG in Verbindung mit § 109 Abs. 3 GVG und 64 ff. ZPO). Die unterliegende Beschwerdeführerin wird</w:t>
      </w:r>
    </w:p>
    <w:p>
      <w:r>
        <w:t>damit kostenpflichtig (§ 64 Abs. 2 ZPO), wobei bei der Kostenfestsetzung die teil- weise Kostenlosigkeit des Verfahrens im vorerwähnten Sinne zu berücksichtigen ist." Obergericht des Kantons Zürich ll. Zivilkammer Obere kantonale Aufsichtsbehörde in Schuldbetreibungs- und Konkurssachen Beschluss vom 11. Mai 2004 (Mitgeteilt von lic. iur. M. Hüsser)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