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NQ110009 vom 19. Juli 2011</w:t>
      </w:r>
    </w:p>
    <w:p>
      <w:r>
        <w:t>ZH Obergericht, 2011-07-19, DE</w:t>
      </w:r>
    </w:p>
    <w:p>
      <w:r>
        <w:rPr>
          <w:b/>
        </w:rPr>
        <w:t xml:space="preserve">Quelle: </w:t>
      </w:r>
      <w:r>
        <w:t>https://mcp.opencaselaw.ch/entscheid/zh_obergericht_NQ110009</w:t>
      </w:r>
    </w:p>
    <w:p>
      <w:r>
        <w:t>FR: ZH_OBERGERICHT NQ110009 du 19 juillet 2011</w:t>
      </w:r>
    </w:p>
    <w:p>
      <w:r>
        <w:t>IT: ZH_OBERGERICHT NQ110009 del 19 luglio 2011</w:t>
      </w:r>
    </w:p>
    <w:p>
      <w:pPr>
        <w:pStyle w:val="Heading2"/>
      </w:pPr>
      <w:r>
        <w:t>Erwägungen</w:t>
      </w:r>
    </w:p>
    <w:p>
      <w:r>
        <w:rPr>
          <w:b/>
        </w:rPr>
        <w:t>E. 1</w:t>
      </w:r>
    </w:p>
    <w:p>
      <w:r>
        <w:t>Mit Beschluss der Vormundschaftsbehörde D._____ vom 18. Mai 2006 wurde A._____ (Berufungskläger) in Anwendung von Art. 386 Abs. 2 ZGB die Hand- lungsfähigkeit entzogen, und es wurde für ihn eine gesetzliche Vertretung ange- ordnet. Zu seiner gesetzlichen Vertreterin wurde B._____, seine Ehefrau ernannt. Gleichzeitig wurde dem Bezirksrat beantragt, A._____ nach Art. 369 ZGB zu ent- mündigen (act. 14/10). Mit Beschluss vom 25. Januar 2007 ernannte die Vor- mundschaftsbehörde C._____, die langjährige Treuhänderin von A._____, anstel- le von B._____ zur gesetzlichen Vertreterin (act. 14/85). Der Bezirksrat Zürich er- richtete alsdann mit Beschluss vom 26. April 2007 für A._____ eine kombinierte Beiratschaft. Zur Beirätin wurde die bisherige gesetzliche Vertreterin, C._____ er- nannt (act. 14/97). Das Besitzstandsinventar per 30. Juni 2006 wurde vom Be- zirksrat Zürich am 7. August 2007 genehmigt, nachdem A._____ am 17. Juni 2007 den Inhalt des Inventars unterschriftlich als geprüft, richtig und vollständig bestätigt hatte (act. 14/100). Mit Beschluss des Bezirksrates Zürich vom 25. Juni 2009 wurde die Beiratschaft für A._____ wieder aufgehoben (act. 14/334). Die Gründe dafür lassen sich dem Antrag der Vormundschaftsbehörde D._____ vom</w:t>
      </w:r>
    </w:p>
    <w:p>
      <w:r>
        <w:rPr>
          <w:b/>
        </w:rPr>
        <w:t>E. 4</w:t>
      </w:r>
    </w:p>
    <w:p>
      <w:r>
        <w:t>Selbst wenn aber darauf eingetreten wird, ist die Berufung abzuweisen:</w:t>
      </w:r>
    </w:p>
    <w:p>
      <w:r>
        <w:rPr>
          <w:b/>
        </w:rPr>
        <w:t>E. 4.1</w:t>
      </w:r>
    </w:p>
    <w:p>
      <w:r>
        <w:t>Die Beirätin C._____ ist ihrer Pflicht zur Erstattung eines Schlussberichtes und zur Einreichung einer Schlussrechnung (Art. 451 ZGB) nachgekommen. Die Schlussrechnung per 30. Juni 2009 basiert auf dem von den Behörden am 2. bzw. 28. April 2009 genehmigten Rechenschaftsbericht per 31. Dezember 2007 (act. 14/173 letzte Seite, act. 14/291). Sie beinhaltet korrekt den Stand der Finan- zen per 30. Juni 2009, welcher aus der Buchhaltung ersichtlich und im Vermö- gensausweis zusammengefasst ist. Die Rechnungsführung ist korrekt und wird auch vom Berufungskläger nicht beanstandet. Die vom Berufungskläger bean- standeten Unterhaltsbeiträge an seine Ehefrau in der Höhe von Fr. 8'000.-- mo- natlich sind als "Lebenshaltung B._____" korrekt verbucht. Es trifft zu, dass diese Beiträge weder in einem Eheschutz- noch Scheidungsverfahren festgelegt wor- den sind (act. 6 S. 25). Hingegen hat bereits der Bezirksrat zutreffend darauf hin- gewiesen (act. 12 S. 17), dass die Beirätin in ihrem Rechenschaftsbericht per 31. Dezember 2007 (act. 14/173) auch das Budget für das Jahr 2008 erstellt hatte und darin die Zahlungen an B._____ im Betrag von Fr. 8'000.-- aufgeführt waren, und dass A._____ dieses Budget eingesehen und unterzeichnet und damit sein Einverständnis kundgetan hatte. Dieses unterzeichnete Budget 2008 ist auch dem Schlussbericht per 30. Juni 2009 (act. 14/377) beigefügt. Bezüglich Unterhaltsbei- träge an die Ehefrau erfüllt der Schlussbericht damit den Informationszweck. Ob diese Unterhaltsbeiträge angemessen waren, bzw. ob zu Recht vom Einverständ-</w:t>
      </w:r>
    </w:p>
    <w:p>
      <w:r>
        <w:t>- 14 - nis des Berufungsklägers ausgegangen worden ist, braucht in diesem Verfahren nicht geklärt zu werden. Auch das vom Berufungskläger erstmals vor Vorinstanz beanstandete Darlehen an Sohn F._____ (act. 13/31 S. 33 f., act. 6 S. 23 f.) ist korrekt verbucht und war bereits im genehmigten Rechenschaftsbericht per 31. Dezember 2007 enthalten. Auch insofern erfüllt der Schlussbericht per 30. Juni 2009 seine Informationspflicht. Nachdem der Berufungskläger erstmals im Ge- nehmigungsverfahren Einwendungen dagegen erhebt, hatte die Beirätin auch keine Veranlassung, diesbezügliche Abklärungen vorzunehmen.</w:t>
      </w:r>
    </w:p>
    <w:p>
      <w:r>
        <w:rPr>
          <w:b/>
        </w:rPr>
        <w:t>E. 4.2</w:t>
      </w:r>
    </w:p>
    <w:p>
      <w:r>
        <w:t>Mit der Genehmigung des Rechenschaftsberichts per 31. Dezember 2007 wurde die Beirätin eingeladen, "weiterhin die (internen) Guthaben bzw. allfälligen Rückforderungsansprüche von A._____ gegenüber seiner Ehefrau (vgl. Besitz- standinventar, Ziff. 3 der Vermögensaufstellung) – unter Miteinbezug des Konto- korrentes "J._____" (E._____ AG) – abzuklären und gegebenenfalls in geeigneter Form geltend zu machen" (act. 14/173, zweitletzte Seite = act. 14/291 S. 2 Disp.- Ziff. 3.a). Dazu war die Beirätin bereits mit der Abnahme des Besitzstandinventars (act. 14/100) am 19. Juli 2007 eingeladen worden (act. 14/107 Disp.-Ziff. 2.c). Gemäss Besitzstandinventar Ziff. 3 betroffen waren der Verkauf der Eigentums- wohnung K._____ bzw. der Kauf einer neuen Wohnung, Transaktionen, welche von den Bankkonti/Depots usf. von A._____ auf solche von B._____ erfolgt sind (inkl. per 13.6.06 saldiertes ...-Konto) sowie der Verkauf eines Mercedes-Benz (vgl. act. 14/100 S. 5).</w:t>
      </w:r>
    </w:p>
    <w:p>
      <w:r>
        <w:rPr>
          <w:b/>
        </w:rPr>
        <w:t>E. 4.3</w:t>
      </w:r>
    </w:p>
    <w:p>
      <w:r>
        <w:t>Der Berufungskläger erwähnt in der Berufungsschrift (wie schon vor Vo- rinstanz) auch eine Eigentumswohnung in G._____ und ein Motorboot, ohne al- lerdings dazu irgendwelche Behauptungen aufzustellen (act. 6 S. 25 f., act. 13/31 S. 34 f.). Im Besitzstandinventar und auch sonst in den Akten ist davon nirgends die Rede, und was es damit auf sich haben soll, ist nicht ersichtlich. Die Einrei- chung eines auf den Namen des Berufungsklägers als Verkäufer lautenden nicht unterzeichneten Kaufvertrages für ein Motorboot Pedrazzini Monte Carlo (act. 8/79) vermag nichts zur Klärung beizutragen. Über von der Beirätin nicht verwal- tete Vermögenswerte ist keine Rechenschaft abzulegen. Wollte der Berufungs- kläger geltend machen, er besitze eine Eigentumswohnung in G._____ und ein</w:t>
      </w:r>
    </w:p>
    <w:p>
      <w:r>
        <w:t>- 15 - Motorboot oder er habe solches besessen, und diese Vermögenswerte seien im Inventar nicht aufgeführt, hätte er dies auch unter der Geltung der Untersu- chungsmaxime vorzubringen.</w:t>
      </w:r>
    </w:p>
    <w:p>
      <w:r>
        <w:rPr>
          <w:b/>
        </w:rPr>
        <w:t>E. 4.4</w:t>
      </w:r>
    </w:p>
    <w:p>
      <w:r>
        <w:t>Fest steht, dass die Liegenschaft "H._____" gemäss Grundbuchauszug (act. 14/108/25) im Eigentum der Ehefrau des Berufungsklägers steht. Dass die Lie- genschaft aus Mitteln des Ehemannes finanziert worden ist, bestreitet B._____ nicht, macht aber eine Schenkung geltend. Gleiches gilt für die Gelder, die auf den Namen von B._____ lautenden Konti/Depots liegen. Es wird nicht bestritten, dass die Gelder hauptsächlich vom Berufungskläger stammen. B._____ macht aber geltend, ihr Ehemann habe sie damit finanziell absichern wollen (vgl. act. 14/110/2+3, act. 14/100 Anhang V). Der Berufungskläger hat am 20. Juli 2006 un- terschriftlich bestätigt, dass die Bankkonti und Wertschriftendepots jeweils demje- nigen gehören, auf dessen Namen sie lauten, und dass der Kauf der neuen Woh- nung auf den Namen der Ehefrau ebenfalls seinem Wunsch und Willen entspre- che (vgl. act. 14/110/3 und act. 14/100 Anhang V). Bezüglich der beiden Konto- korrente "I._____" und "J._____" in der E._____ AG hatte B._____ angegeben, diese seien dem Eigentum des Ehemannes zuzurechnen. Aus steuerlicher Sicht seien diese Konti schon längst zusammengelegt, in der Buchhaltung habe man diese Umbuchung bisher einfach noch nicht vollzogen. Ihr Ehemann habe es ihr vor einigen Jahren ermöglicht, unter dem Namen J._____ eine Tätigkeit auszu- üben, die sie aber schon Ende 2000 aufgegeben habe. Seit diesem Zeitpunkt sei die Firma nur noch auf Wunsch des Ehemannes aufrechterhalten worden, da er darüber Geschäfte mit Kunstobjekten oder ähnlichem abgewickelt habe (act. 14/100 Anhang V). Bezüglich des Mercedes machte B._____ geltend, das Auto sei ihr vom Ehemann geschenkt worden, und in der Zwischenzeit habe sie das Auto verkauft und einen Range Rover gekauft (act. 14/100 Anhang IV). Erst mit Schreiben an die Vormundschaftsbehörde vom 11. Juni 2007 brachte A._____ zum ersten Mal vor, "dass das aufgeführte Konto, sowie die Eigentumswohnung im Wert von ca. Fr. 1,5 Millionen auf meinen Namen (Eigengut) übertragen wer- den müssen. Von einer Schenkung meinerseits kann keine Rede sein. Da eine gerichtliche Trennung von meiner Frau angesagt wurde, ist es für mich wichtig, dass Sie als Vormundschaftsbehörde meine Eigentumsverhältnisse richtig stel-</w:t>
      </w:r>
    </w:p>
    <w:p>
      <w:r>
        <w:t>- 16 - len." (act. 14/102). Seinem Schreiben legte er ein "Inventar im Sinne von Art. 195a ZGB" bei, welches fünf Konto-/Depotpositionen enthält (vgl. act. 14/102 Sei- te 2).</w:t>
      </w:r>
    </w:p>
    <w:p>
      <w:r>
        <w:rPr>
          <w:b/>
        </w:rPr>
        <w:t>E. 4.5</w:t>
      </w:r>
    </w:p>
    <w:p>
      <w:r>
        <w:t>Wie bereits der Bezirksrat Zürich festgehalten hat (act. 12 S. 16), wurde die Beirätin im Zusammenhang mit dem Rechenschaftsbericht per 31. Dezember 2007 zur Stellungnahme betreffend die umstrittenen Vermögenswerte aufgefor- dert, da dem Bericht nichts über die diesbezüglichen Bemühungen entnommen werden könne (act. 14/186). Dieser Aufforderung kam die Beirätin mit Schreiben vom 14. August 2008 nach (act. 14/198). Sie hielt fest, betreffend der Gutha- ben/Forderungen der Ehepartner sei das "KK J._____" in der E._____ AG eindeu- tig A._____ zuzuschreiben, wie sie das im Rechenschaftsbericht auch ausgeführt habe. Sie betreue die E._____ AG schon seit langer Zeit als Treuhänderin und kenne daher die Entstehungsgeschichte dieses Kontokorrents bestens. Es sei aus steuerlichen Überlegungen so in der Buchhaltung belassen worden, weil A._____ geplant habe, künftige Geschäfte darüber abzuwickeln und die steuerli- che Verlustrechnung auszunützen. Der Mercedes sei ein Geburtstagsgeschenk von A._____ an B._____ gewesen, somit sei der Verkaufserlös, bzw. der damit gekaufte Range Rover B._____ zuzuordnen. Die Bankkonti seien offensichtlich klar geregelt und von der Vormundschaftsbehörde auch so akzeptiert worden. Die Eigentumswohnung "H._____" sei im Grundbuch auf B._____ eingetragen, der Kauf sei grösstenteils mit dem Erlös aus dem Verkauf der Eigentumswohnung "K._____" finanziert. A._____ habe sich im damaligen Zeitpunkt (Sommer 2006) immer so geäussert, dass er damit einverstanden sei. Sie sei daher immer davon ausgegangen, dass diese Sachlage klar sei, und sie habe deswegen auch nichts weiter unternommen. Am 2. März 2009 wurde seitens der Vormundschaftsbehör- de mit der Beirätin das genaue weitere Vorgehen bezüglich Eigentumswohnung "H._____", Mercedes/Range Rover und Vermögenstransaktionen auf Konti von B._____ gemäss act. 14/102 besprochen (act. 14/281). Danach sollte eine chro- nologische Aufstellung gemacht werden, wann was geschehen ist, und abgeklärt werden, wer was geltend macht (Vorgehensplanung). Die Beirätin kam dieser Aufforderung mit Schreiben vom 21. März 2009 samt Beilagen nach (act. 14/284 und 14/285). Sie äusserte sich gegenüber der Vormundschaftsbehörde zudem in</w:t>
      </w:r>
    </w:p>
    <w:p>
      <w:r>
        <w:t>- 17 - einem weiteren Schreiben vom 23. März 2009 (act. 14/288). Auf Einladung der Vormundschaftsbehörde äusserte sich auch A._____ zu den geltend gemachten Vermögensverschiebungen (act. 14/297), wobei er insbesondere die behaupteten Schenkungen in Bezug auf die Eigentumswohnung und diverse Bankkonti bestrei- ten und bezüglich des Mercedes geltend machen liess, diesen habe er seiner Ehefrau tatsächlich geschenkt, indessen dürfte der Verkaufserlös kaum gereicht haben für den Kauf des Range Rover. Bezüglich Kontokorrent J._____ verzichte- te er einstweilen darauf, weitere Abklärungen zu treffen oder Forderungen abzu- leiten. Auf Aufforderung der Vormundschaftsbehörde liess die Beirätin die Ehefrau des Berufungsklägers zu diesem Schreiben schriftlich Stellung nehmen und übermittelte die Stellungnahme am 26. Mai 2009 der Vormundschaftsbehörde (act. 14/321). B._____ liess wiederum unbestritten, dass die Liegenschaft "H._____" aus dem Verkaufserlös der früheren Liegenschaft K._____ gekauft worden sei und dass sie den Mercedes verkauft habe, um den Range Rover kau- fen zu können. Wenn A._____ feststelle, dass gewisse Konti vorhanden seien, so sei auch dies zutreffend. Es sei völlig unbestritten, dass die Eheleute … dereinst eine Abrechnung zu erstellen haben würden und sich dabei beispielsweise die Frage stellen werde, wie A._____ seiner Ehefrau den Unterhalt gewährleisten werde. Allfällige Ansprüche des Ehemannes gegenüber der Ehefrau könnten wie allfällige Ansprüche der Ehefrau gegenüber dem Ehemann im Rahmen einer all- fälligen ehelichen Auseinandersetzung geltend gemacht werden.</w:t>
      </w:r>
    </w:p>
    <w:p>
      <w:r>
        <w:rPr>
          <w:b/>
        </w:rPr>
        <w:t>E. 4.6</w:t>
      </w:r>
    </w:p>
    <w:p>
      <w:r>
        <w:t>Im Schlussbericht per 30. Juni 2009 hat die Beirätin sodann zu den behaup- teten Vermögensverschiebungen Stellung bezogen und hat die umstrittenen Ver- mögenswerte nochmals thematisiert (act. 14/377 S. 3 ff.). Insbesondere führte sie aus, die Sachlage zu den zur Diskussion stehenden Punkten sei für sie immer klar gewesen und sei wiederholt so auch mündlich und schriftlich bestätigt wor- den. - Es sei nie bestritten worden, dass die Eigentumswohnung "H._____" aus dem Verkaufserlös der Eigentumswohnung "K._____" finanziert worden sei. A._____ habe unter anderem in ihrer Anwesenheit während Besuchen in der U-Haft seine Ehefrau, B._____, aufgefordert, die Wohnung an der K._____, wo die schreckli- che Tat ja begangen worden sei, zu verkaufen und eine für sie passende, neue Wohnung zu kaufen. A._____ habe sich ihr persönlich gegenüber nie dahinge- hend geäussert, dass er das Eigentum an der H._____ beanspruche.</w:t>
      </w:r>
    </w:p>
    <w:p>
      <w:r>
        <w:t>- 18 - - Bezüglich der Fahrzeuge habe es nie Fragen von A._____ gegeben. Als es ihm wieder erlaubt gewesen sei zu fahren, sei ihm sein Fahrzeug, der Saab, ausge- händigt worden. Er habe gewusst, dass seine Frau den Mercedes, den er ihr ge- schenkt hatte, verkauft und dafür den Range Rover gekauft habe. A._____ habe auch hier ihr gegenüber nie etwas beanstandet. - A._____ habe nie Auskunft über Konti von B._____ verlangt. Er habe ihr persön- lich gegenüber nie davon gesprochen, dass es Vermögensverschiebungen gege- ben haben solle, mit denen er nicht einverstanden gewesen sei. - Das Kontokorrent J._____ in der E._____AG sei nur auf Wunsch von A._____ aufrecht erhalten worden und nicht bereits nach Aufgabe der Geschäftstätigkeit der J._____ per Ende 2000 mit seinem Kontokorrent verrechnet worden, da er die steuerlich mögliche Verlustverrechnung habe nutzen wollen. Die Beirätin hält ferner fest, dass A._____ wenige Tage nach seinem Schreiben an die Vormundschaftsbehörde vom 11. Juni 2007, womit er das Eigentum an weiteren Bankkonti und der Wohnung "H._____" beansprucht habe, das Besitz- standinventar unterzeichnet habe, ohne darauf hinzuweisen, dass seiner Meinung nach eben diese Bank-Konti und die Wohnung "H._____" fehlen würden. Im wei- teren habe er den von ihr erstellten Vermögensausweis per 31.12.2007 am 27. Mai 2008 unterzeichnet und damit sein Einverständnis kundgetan – auch hier oh- ne Hinweis, dass weitere Bank-Konti und die Wohnung "H._____" fehlen würden.</w:t>
      </w:r>
    </w:p>
    <w:p>
      <w:r>
        <w:rPr>
          <w:b/>
        </w:rPr>
        <w:t>E. 4.7</w:t>
      </w:r>
    </w:p>
    <w:p>
      <w:r>
        <w:t>Bei Hinfall oder Aufhebung einer Massnahme darf sich der Schlussbericht auf jene Bereiche beschränken, welche zum Massnahmeende geführt haben, die ak- tuelle Situation widerspiegeln, Auffälligkeiten oder Besonderheiten der Vermö- gensentwicklung und -verwaltung erläutern, über offene oder ungeklärte Proble- me orientieren oder für die Verantwortlichkeit der vormundschaftlichen Organe von Relevanz sind (BSK ZGB I-Affolter, Art. 451-453 N 29). Der vorliegend zu be- urteilende Schlussbericht per 30. Juni 2009 erfüllt, zumal unter Berücksichtigung der weiteren in den vorgenannten Akten verurkundeten Bemühungen und Erklä- rungen der Beirätin, diese Informationspflicht, auch mit Bezug auf die umstrittenen Vermögenswerte. Die Sachlage war für die Beirätin nach ihren Ausführungen klar, und deswegen hat sie auch keinen weiteren Handlungsbedarf gesehen. Die Be- richterstattung ist, wie schon der Bezirksrat ausgeführt hat (act. 12 S. 16), trans-</w:t>
      </w:r>
    </w:p>
    <w:p>
      <w:r>
        <w:t>- 19 - parent und verschweigt nichts, weshalb auch kein Grund ersichtlich ist, die Ge- nehmigung zu verweigern oder nur unter Vorbehalt zu erteilen.</w:t>
      </w:r>
    </w:p>
    <w:p>
      <w:r>
        <w:rPr>
          <w:b/>
        </w:rPr>
        <w:t>E. 4.8</w:t>
      </w:r>
    </w:p>
    <w:p>
      <w:r>
        <w:t>Nur der Vollständigkeit halber festzuhalten ist, dass sich das Ziel des Beru- fungsklägers, die umstrittenen Vermögenswerte in den Vermögensausweis per 30. Juni 2009 aufnehmen zu lassen, auch durch eine Nichtgenehmigung des Schlussberichtes nicht erzielen liesse. Bestreitet der Berufungskläger die von sei- ner Ehefrau behaupteten Schenkungen, hätte er seine Ansprüche auf dem Wege des Zivilprozesses geltend zu machen. Nach Aufhebung der Beiratschaft könnten dies weder die Beirätin noch die Vormundschaftsbehörde in die Wege leiten. Auch die behauptete Schuld der Ehefrau gegenüber der E._____AG gemäss dem Kontokorrent "J._____" wäre auf dem Zivilweg einzufordern. Soweit der Beru- fungskläger dafür hält, die Aufklärungsbemühungen der Beirätin seien ungenü- gend gewesen, könnten solche Bemühungen auch bei einer Nichtgenehmigung nach Beendigung der Massnahme nicht nachgeholt werden. Im Schlussbericht kann es nur darum gehen, den Stand der Bemühungen darzulegen. Sollte dem Berufungskläger infolge ungenügender Bemühungen ein Schaden entstanden sein, hätte er dies im Rahmen einer Verantwortlichkeitsklage geltend zu machen.</w:t>
      </w:r>
    </w:p>
    <w:p>
      <w:r>
        <w:rPr>
          <w:b/>
        </w:rPr>
        <w:t>E. 5</w:t>
      </w:r>
    </w:p>
    <w:p>
      <w:r>
        <w:t>Insgesamt ergibt sich, dass die Berufung abzuweisen ist, soweit auf sie einzu- treten ist, und der Beschluss des Bezirksrates Zürich vom 17. Februar 2011 ist zu bestätigen. IV. Bei diesem Prozessausgang wird der Berufungskläger kostenpflichtig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