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NP250003 vom 1. Juli 2025</w:t>
      </w:r>
    </w:p>
    <w:p>
      <w:r>
        <w:t>ZH Obergericht, 2025-07-01, DE</w:t>
      </w:r>
    </w:p>
    <w:p>
      <w:r>
        <w:rPr>
          <w:b/>
        </w:rPr>
        <w:t xml:space="preserve">Quelle: </w:t>
      </w:r>
      <w:r>
        <w:t>https://mcp.opencaselaw.ch/entscheid/zh_obergericht_NP250003</w:t>
      </w:r>
    </w:p>
    <w:p>
      <w:r>
        <w:t>FR: ZH_OBERGERICHT NP250003 du 1 juillet 2025</w:t>
      </w:r>
    </w:p>
    <w:p>
      <w:r>
        <w:t>IT: ZH_OBERGERICHT NP250003 del 1 luglio 2025</w:t>
      </w:r>
    </w:p>
    <w:p>
      <w:pPr>
        <w:pStyle w:val="Heading2"/>
      </w:pPr>
      <w:r>
        <w:t>Erwägungen</w:t>
      </w:r>
    </w:p>
    <w:p>
      <w:r>
        <w:rPr>
          <w:b/>
        </w:rPr>
        <w:t>E. 1</w:t>
      </w:r>
    </w:p>
    <w:p>
      <w:r>
        <w:t>Schadenersatz (Art. 41 OR)</w:t>
      </w:r>
    </w:p>
    <w:p>
      <w:r>
        <w:rPr>
          <w:b/>
        </w:rPr>
        <w:t>E. 1.1</w:t>
      </w:r>
    </w:p>
    <w:p>
      <w:r>
        <w:t>Die Vorinstanz erwog, dem Kläger müsste durch das unrechtmässige Ent- ziehen des Besuchsrechts seitens des Beklagten nachweislich ein Vermögens- schaden entstanden sein. Schaden im Sinne von Art. 41 OR beinhalte jede Vermö- gensverminderung, sei es durch eine Verminderung der Aktiven oder eine Vermeh- rung der Passiven. Der Schaden bestehe gemäss der Differenztheorie in der Diffe- renz zwischen dem Stand des Vermögens des Verletzten vor dem schädigenden Ereignis und demjenigen nach dem schädigenden Ereignis. Der Kläger behaupte jedoch nicht, eine solche Vermögenseinbusse erlitten zu haben, noch substantiiere er eine solche. Daher scheide ein Anspruch aus ausservertraglicher Haftung ge- mäss Art. 41 OR von vornherein aus. In der Klagebewilligung vom 15. März 2023 habe der Kläger seine Forderung als "Schmerzensgeld" bezeichnet. Er mache eine seelische Beeinträchtigung geltend, da ihm der persönliche Kontakt zu seiner Toch- ter verwehrt worden sei, was auf eine Genugtuungsforderung hindeute (Urk. 39 E. III.2).</w:t>
      </w:r>
    </w:p>
    <w:p>
      <w:r>
        <w:rPr>
          <w:b/>
        </w:rPr>
        <w:t>E. 1.2</w:t>
      </w:r>
    </w:p>
    <w:p>
      <w:r>
        <w:t>Der Kläger rügt, er habe mit Art. 41 OR die richtige Norm genannt. Die teleo- logische und grammatikalische Auslegung der Norm ergebe, dass sie sich eindeu- tig auf Verschuldenshaftung und Schadenersatz beziehe (Urk. 38 S. 6). Der Scha- den sei sehr gross und schwer zu berechnen, da er den inneren Bereich der Per- sönlichkeit betreffe. Er sei psychisch verletzt und leide unter Schlaflosigkeit, Stress und Depressionen (Urk. 38 S. 8).</w:t>
      </w:r>
    </w:p>
    <w:p>
      <w:r>
        <w:rPr>
          <w:b/>
        </w:rPr>
        <w:t>E. 1.3</w:t>
      </w:r>
    </w:p>
    <w:p>
      <w:r>
        <w:t>Als Schaden im Sinne von Art. 41 OR gilt die ungewollte Verminderung des Reinvermögens, entsprechend der Differenz zwischen dem gegenwärtigen Vermö- gensstand und dem (hypothetischen) Stand, den das Vermögen ohne das schädi- gende Ereignis hätte. Der Schaden kann in einer Vermehrung der Passiven, einer Verminderung der Aktiven oder in entgangenem Gewinn bestehen. Es handelt sich somit um einen rein wirtschaftlichen, auf das Reinvermögen abstellenden Scha- densbegriff. Beeinträchtigungen, welche nicht das Vermögen betreffen, sind keine haftpflichtrechtlich relevanten Schäden (BGer 4A_17/2023 vom 9. Mai 2023 E.</w:t>
      </w:r>
    </w:p>
    <w:p>
      <w:r>
        <w:t>- 6 - 7.3.1 m.w.H.). Einen wirtschaftlichen Schaden, der auf die behauptete Besuchs- rechtsverletzung zurückzuführen wäre, legte der Kläger nicht dar. Entgegen seiner Auffassung ist nicht zu beanstanden, dass die Vorinstanz seine geltend gemachte seelische Beeinträchtigung nicht unter den Schadensbegriff von Art. 41 OR subsu- mierte, sondern allfällige Genugtuungsansprüche prüfte.</w:t>
      </w:r>
    </w:p>
    <w:p>
      <w:r>
        <w:rPr>
          <w:b/>
        </w:rPr>
        <w:t>E. 2</w:t>
      </w:r>
    </w:p>
    <w:p>
      <w:r>
        <w:t>Genugtuung infolge Persönlichkeitsverletzung aus affektivem Schutzbereich (Art. 28 ZGB i.V.m. Art. 49 OR)</w:t>
      </w:r>
    </w:p>
    <w:p>
      <w:r>
        <w:rPr>
          <w:b/>
        </w:rPr>
        <w:t>E. 2.1</w:t>
      </w:r>
    </w:p>
    <w:p>
      <w:r>
        <w:t>Die Vorinstanz führte aus, dass die Ablehnung oder Verunmöglichung der Ausübung des Besuchsrechts eine relevante Beeinträchtigung des psychisch- affektiven Schutzbereichs der Persönlichkeit darstellen könnte. Im vorliegenden Fall gelinge es dem Kläger jedoch nicht nachzuweisen, inwiefern der Beklagte das Besuchsrecht der Tochter gegenüber dem Kläger verhindert habe. Der einzige ob- jektive Beweis, den der Kläger habe vorbringen können, sei eine E-Mail des Be- klagten an die Rechtsanwältin des Klägers aus dem Scheidungsverfahren, in der folgender Inhalt zu finden sei: "[…] Ihr Klient widerspricht sich. Er zweifelt die Vaterschaft an, will jedoch mehr Zeit mit D._____ verbringen. Es bleibt bei der Usanz, dass Ihr Klient seine "Tochter" jeden 2. Sonntag ab 13:00 Uhr bis rund 17:00 Uhr besuchen kann, bei entspre- chender Voranmeldung. Übernachtungen und/oder Ferien werden abgelehnt, ent- sprechen auch nicht dem Kindeswohl und dem Willen von D._____." Obwohl der Kläger anführe, dass Übernachtungen und/oder Ferien abgelehnt wür- den, habe der Beklagte das rechtskräftige Urteil nicht, wie vom Kläger behauptet, „abgeändert“. Zudem sei nicht ersichtlich, inwiefern der Beklagte dies hätte tun kön- nen. Es sei ebenfalls zu beachten, dass der Beklagte nicht verpflichtet sei, die kor- rekte Umsetzung des Urteils zu gewährleisten – sei dieser doch keine Partei der Vereinbarung oder gar eine Behörde. Wolle der Kläger das rechtskräftige Urteil durchsetzen, könne er beim zuständigen Gericht die Vollstreckung beantragen. In- wiefern die E-Mail des Beklagten eine Persönlichkeitsverletzung des Klägers dar- stelle, habe der Kläger nicht darlegen könne. Hierbei sei auch zu erwähnen, dass in der Schweiz das Kindeswohl an oberster Stelle stehe. Selbst eine rechtskräftige</w:t>
      </w:r>
    </w:p>
    <w:p>
      <w:r>
        <w:t>- 7 - Regelung müsse nicht zwingend umgesetzt werden, wenn sie dem Wohl des Kin- des widerspreche (Urk. 39 E. III.3.1).</w:t>
      </w:r>
    </w:p>
    <w:p>
      <w:r>
        <w:rPr>
          <w:b/>
        </w:rPr>
        <w:t>E. 2.2</w:t>
      </w:r>
    </w:p>
    <w:p>
      <w:r>
        <w:t>Der Kläger moniert, es sei klar, dass der Beklagte nicht verpflichtet sei, die korrekte Umsetzung des Urteils zu gewährleisten. Er sei aber verpflichtet, die kor- rekte Umsetzung des Urteils zu akzeptieren und zu respektieren. Wolle der Be- klagte das rechtskräftige Urteil stoppen, könne er beim zuständigen Gericht gegen die Vollstreckung vorgehen. Was der Beklagte nicht tun dürfe, sei, die Vollstreckung des rechtskräftigen Urteils abzulehnen, da dies nicht in seiner Kompetenz liege (Urk. 38 S. 4). Der Beklagte habe mit der im vorinstanzlichen Urteil wiedergegebe- nen E-Mail seine Widerrechtlichkeit bestätigt. Er habe das Gesetz in die eigene Hand genommen und das Besuchsrecht schriftlich abgelehnt (Urk. 38 S. 5). Ohne die Ablehnung der Verbindlichkeit des Urteils hätte er, der Kläger, D._____ am Wochenende bei sich haben können, mit ihr in die Ferien fahren und mehr Zeit verbringen können (Urk. 38 S. 7).</w:t>
      </w:r>
    </w:p>
    <w:p>
      <w:r>
        <w:rPr>
          <w:b/>
        </w:rPr>
        <w:t>E. 2.3</w:t>
      </w:r>
    </w:p>
    <w:p>
      <w:r>
        <w:t>Wie bereits die Vorinstanz zutreffend feststellte, ist der Beklagte nicht Adres- sat des Scheidungsurteils, in dem das Besuchsrecht des Klägers festgelegt wurde. Es lassen sich aus dem Scheidungsurteil somit keine Pflichten oder Rechte für den Beklagten ableiten. Mit anderen Worten ist er weder verpflichtet, die Umsetzung des Scheidungsurteils zu gewährleisten, dieses zu akzeptieren und respektieren, noch ist er berechtigt, gegen eine allfällige Vollstreckung des Urteils in eigenem Namen vorzugehen. Das im vorinstanzlichen Entscheid zitierte E-Mail schrieb er in seiner Funktion als Rechtsvertreter und Sprachrohr der Mutter von D._____. Ent- gegen der klägerischen Auffassung handelte der Beklagte nicht widerrechtlich, in- dem er die Interessen der Mutter von D._____ vertrat und kundtat. Als ihr Rechts- vertreter ist es vielmehr seine Aufgabe, die Interessen seiner Mandantin zu vertre- ten und sich für diese einzusetzen (Art. 398 Abs. 2 OR).</w:t>
      </w:r>
    </w:p>
    <w:p>
      <w:r>
        <w:rPr>
          <w:b/>
        </w:rPr>
        <w:t>E. 3</w:t>
      </w:r>
    </w:p>
    <w:p>
      <w:r>
        <w:t>Die Gerichtskosten für das zweitinstanzliche Verfahren werden dem Kläger auferlegt.</w:t>
      </w:r>
    </w:p>
    <w:p>
      <w:r>
        <w:rPr>
          <w:b/>
        </w:rPr>
        <w:t>E. 3.1</w:t>
      </w:r>
    </w:p>
    <w:p>
      <w:r>
        <w:t>Die Vorinstanz erwog, der Kläger bringe vor, der Beklagte habe ihn mehrfach diskriminiert. Insbesondere habe der Beklagte ihn nicht als gleichwertigen Men-</w:t>
      </w:r>
    </w:p>
    <w:p>
      <w:r>
        <w:t>- 8 - schen betrachtet, sondern als jemanden, dem grundlegende Rechte nicht zustehen würden. Darüber hinaus habe der Beklagte den Kläger aufgrund seines Glaubens benachteiligt, was einen Verstoss gegen die Religionsfreiheit darstelle. Ausserdem habe der Beklagte das Herkunftsland des Klägers herabgewürdigt. Der Beklagte habe unwahre Behauptungen aufgestellt, etwa dass der Kläger versucht habe, die Mutter des Kindes zum Islam zu bekehren, und dass er deshalb eine Gefahr für seine Tochter darstelle. Diese Vorwürfe habe der Beklagte trotz fehlender Beweise erhoben, was der Kläger als direkte Diskriminierung und Ausdruck von Islamopho- bie werte. Laut dem Kläger habe der Beklagte mit diesen Handlungen beabsichtigt, ihn von verschiedenen Seiten in Misskredit zu bringen und Hass gegen ihn zu schü- ren. Dies habe zu einer Verletzung der Ehre des Klägers geführt (Urk. 39 E. III.2.2.2). Der Beklagte habe bestritten, den Kläger in seiner Ehre verletzt zu haben. Es sei nicht ersichtlich, dass eine Persönlichkeitsverletzung aufgrund ehrverletzen- der Äusserungen vorliege, die eine Entschädigung rechtfertigen könne. Der Kläger behaupte zwar wiederholt, vom Beklagten diskriminiert worden zu sein, bringe je- doch keine konkreten Beweise dafür vor. In der Hauptverhandlung habe der Kläger erklärt, dass die ablehnende Haltung des Beklagten ihm gegenüber schriftlich do- kumentiert sei, habe jedoch nicht auf spezifische Aktenstellen verwiesen. Der Be- klagte habe die Vorwürfe mehrfach zurückgewiesen, sodass unklar bleibe, inwie- fern eine Diskriminierung tatsächlich stattgefunden habe. Aus den vorliegenden Unterlagen lasse sich keine Persönlichkeitsverletzung ableiten (Urk. 39 E. III.3.2.).</w:t>
      </w:r>
    </w:p>
    <w:p>
      <w:r>
        <w:rPr>
          <w:b/>
        </w:rPr>
        <w:t>E. 3.2</w:t>
      </w:r>
    </w:p>
    <w:p>
      <w:r>
        <w:t>Der Kläger wiederholt in seiner Berufungsschrift seine bereits im vorinstanz- lichen Verfahren deponierten Vorwürfe, dass der Beklagte behauptet habe, er habe die Mutter von D._____ zur Konversion zum Islam gezwungen und ihr Vermögen verwaltet (Urk. 20 S. 4 und S. 12 sowie Urk. 38 S. 9). Die schweren Anschuldigun- gen, die der Beklagte gegen ihn erhoben habe, würden eine Genugtuungspflicht begründen (Urk. 38 S. 10).</w:t>
      </w:r>
    </w:p>
    <w:p>
      <w:r>
        <w:rPr>
          <w:b/>
        </w:rPr>
        <w:t>E. 3.3</w:t>
      </w:r>
    </w:p>
    <w:p>
      <w:r>
        <w:t>Mit seinen Wiederholungen setzt sich der Kläger nicht mit den Erwägungen des vorinstanzlichen Urteils auseinander, dass er es unterlassen habe, auf spezifi- sche Aktenstellen zu verweisen. Da er seiner Rügeobliegenheit nicht nachkommt, braucht auf die erhobenen Vorwürfe nicht weiter eingegangen zu werden (vgl. E. II).</w:t>
      </w:r>
    </w:p>
    <w:p>
      <w:r>
        <w:t>- 9 - IV. Kosten- und Entschädigungsfolgen 1. Der Kläger stört sich an der ihm durch die Vorinstanz auferlegten Parteient- schädigung für den Beklagten, weil dieser widerrechtlich gehandelt habe, was er mit klaren Beweisen belegt habe (Urk. 38 S. 4). Wie aufgezeigt konnte der Kläger kein widerrechtliches Handeln des Beklagten nachweisen. Es ist nicht zu beanstan- den, dass die Vorinstanz die Prozesskosten ausgangsgemäss dem Kläger aufer- legte (Art. 106 Abs. 1 ZPO). Die erstinstanzlichen Kosten- und Entschädigungsfol- gen sind zu bestätigen. 2. Auch die Prozesskosten des Berufungsverfahrens sind ausgangsgemäss dem Kläger aufzuerlegen (Art. 106 Abs. 1 ZPO). Die Entscheidgebühr für das Be- rufungsverfahren ist unter Berücksichtigung des Streitwerts von Fr. 25'000.– (Urk. 1 f.) auf Fr. 3'550.– festzusetzen (§ 12 Abs. 1 und 2 in Verbindung mit § 2 und § 4 GebV OG). Parteientschädigungen sind für das Berufungsverfahren indes keine zuzusprechen: dem Kläger infolge seines Unterliegens (Art. 106 Abs. 1 ZPO), dem Beklagten mangels relevanter Umtriebe (Art. 95 Abs. 3 ZPO). Es wird erkannt: 1. Die Berufung wird abgewiesen, soweit darauf eingetreten wird. Das Urteil des Einzelgerichts im vereinfachten Verfahren am Bezirksgericht Zürich, 2. Abteilung, vom 10. Januar 2025 wird bestätigt. 2. Die zweitinstanzliche Entscheidgebühr wird auf Fr. 3'550.– festgesetzt.</w:t>
      </w:r>
    </w:p>
    <w:p>
      <w:r>
        <w:rPr>
          <w:b/>
        </w:rPr>
        <w:t>E. 4</w:t>
      </w:r>
    </w:p>
    <w:p>
      <w:r>
        <w:t>Es werden keine Parteientschädigungen für das zweitinstanzliche Verfahren zugesprochen.</w:t>
      </w:r>
    </w:p>
    <w:p>
      <w:r>
        <w:rPr>
          <w:b/>
        </w:rPr>
        <w:t>E. 5</w:t>
      </w:r>
    </w:p>
    <w:p>
      <w:r>
        <w:t>Schriftliche Mitteilung an die Parteien, an den Beklagten unter Beilage des Doppels von Urk. 38, sowie an die Vorinstanz, je gegen Empfangsschein.</w:t>
      </w:r>
    </w:p>
    <w:p>
      <w:r>
        <w:t>- 10 -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25'000.–. Die Beschwerde an das Bundesgericht hat keine aufschiebende Wirkung. Hinsichtlich des Fristenlaufs gelten die Art. 44 ff. BGG. Zürich, 1. Juli 2025 Obergericht des Kantons Zürich I. Zivilkammer Der Vorsitzende: Die Gerichtsschreiberin: lic. iur. A. Huizinga MLaw I. Aeberhard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