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NP240030 vom 10. Januar 2025</w:t>
      </w:r>
    </w:p>
    <w:p>
      <w:r>
        <w:t>ZH Obergericht, 2025-01-10, DE</w:t>
      </w:r>
    </w:p>
    <w:p>
      <w:r>
        <w:rPr>
          <w:b/>
        </w:rPr>
        <w:t xml:space="preserve">Quelle: </w:t>
      </w:r>
      <w:r>
        <w:t>https://mcp.opencaselaw.ch/entscheid/zh_obergericht_NP240030</w:t>
      </w:r>
    </w:p>
    <w:p>
      <w:r>
        <w:t>FR: ZH_OBERGERICHT NP240030 du 10 janvier 2025</w:t>
      </w:r>
    </w:p>
    <w:p>
      <w:r>
        <w:t>IT: ZH_OBERGERICHT NP240030 del 10 gennaio 2025</w:t>
      </w:r>
    </w:p>
    <w:p>
      <w:pPr>
        <w:pStyle w:val="Heading2"/>
      </w:pPr>
      <w:r>
        <w:t>Erwägungen</w:t>
      </w:r>
    </w:p>
    <w:p>
      <w:r>
        <w:rPr>
          <w:b/>
        </w:rPr>
        <w:t>E. 1</w:t>
      </w:r>
    </w:p>
    <w:p>
      <w:r>
        <w:t>Die Klägerin und Berufungsbeklagte (nachfolgend Klägerin) ist eine juristi- sche Person, die die Finanzierung von Rechtsstreitigkeiten sowie den Erwerb und das Inkasso bei Forderungen bezweckt. Sie macht im vorliegenden Verfahren gel- tend, die C._____ Ltd habe ihr einen Anspruch auf Herausgabe von Retrozessio- nen abgetreten, welche die Beklagte und Berufungsklägerin (nachfolgend Beklagte) im Rahmen ihrer Geschäftsbeziehungen zur C._____ Ltd (nachfolgend Zedentin) vereinnahmt habe.</w:t>
      </w:r>
    </w:p>
    <w:p>
      <w:r>
        <w:rPr>
          <w:b/>
        </w:rPr>
        <w:t>E. 2</w:t>
      </w:r>
    </w:p>
    <w:p>
      <w:r>
        <w:t>Im vorliegend anwendbaren vereinfachten Verfahren kann die Klage schrift- lich oder mündlich eingereicht werden, wobei eine Begründung nicht erforderlich ist (Art. 244 Abs. 1 und 2 ZPO). Enthält, wie vorliegend, eine schriftlich einge- reichte Klage eine Begründung, so setzt das Gericht der beklagten Partei zu-</w:t>
      </w:r>
    </w:p>
    <w:p>
      <w:r>
        <w:t>- 8 - nächst eine Frist zur schriftlichen Stellungnahme (Art. 245 Abs. 2 ZPO). Über die Rechtsnatur dieser Stellungnahme bestehen in Literatur und Rechtsprechung un- terschiedliche Auffassungen, ebenso wie zur Frage allfälliger Säumnisfolgen, wo diese Stellungnahme unterbleibt (vgl. dazu LAZOPOULOS/LEIMGRUBER in: Gehri/ Jent-SØrensen/Sarbach, Schweizerische Zivilprozessordnung, 3. Aufl. 2023, Art. 245 N 5, N 6b; BSK ZPO-MAZAN, 4. Aufl. 2024, Art. 245 N 17 f., je mit weite- ren Hinweisen). Die Frage, ob die schriftliche Stellungnahme im vereinfachten Verfahren als Klageantwort zu gelten hat, ist zwar umstritten (vgl. den Meinungs- stand bei KUKO ZPO-FRAEFEL, 3. Aufl. 2021, Art. 245 N 4). Gemäss ständiger Praxis der Kammer gilt indes die Stellungnahme der beklagten Partei im verein- fachten Verfahren nicht als Klageantwort respektive deren Ausbleiben führt nicht zu den Säumnisfolgen nach Art. 223 ZPO (OGer ZH NP210006 vom 29. März 2021 E. 3.2; OGer ZH NP180002 vom 7. März 2018 E. 3.1; OGer ZH NP150010 vom 29. Mai 2015 E. 3). Die wie die Klägerin anwaltlich vertretene Beklagte hat unstreitig eine schriftliche Stellungnahme abgegeben (act. 12), welcher inhaltlich die Qualität einer Klageantwort im Sinne von Art. 222 ZPO zukommt. Auch soweit diese Stellungnahme als "erster Schriftenwechsel" und insoweit als Klageantwort angesehen würde (obwohl sie gemäss Gesetzeswortlaut keine Klageantwort ist), so hätten die Parteien jedenfalls einen zweiten Vortrag mit unbeschränktem No- venrecht zugute. Letzteres ist zwar der Vorinstanz nicht entgangen, doch ist sie der Ansicht, der Aktenschluss sei vorliegend noch vor den Parteivorträgen der Parteien an der mündlichen Hauptverhandlung eingetreten, da neue Vorbringen nur zu Beginn der Hauptverhandlung bzw. vor den ersten Parteivorträgen zulässig seien (act. 49 E. II.2. unter Berufung auf BGE 147 III 475 E. 2.3.2 f.). Dem kann nicht gefolgt werden: Die Vorinstanz hat, wie die Beklagte in der Berufung zu Recht geltend macht (act. 46 S. 3 Rz. 1.2), in der Vorladung zur Hauptverhandlung die Parteien darauf hingewiesen, diese hätten Tatsachenbe- hauptungen und die Beweismittel dazu mit ihrem ersten Parteivortrag abschlies- send zu bezeichnen und ein Verzeichnis der Beweismittel einzureichen (act. 34/1-2 S. 2). Die Klägerin stellt dies offensichtlich zu Unrecht in Abrede (act. 60 Rz. 8). Der Einzelrichter hat sodann die Parteien zu Beginn der Hauptver- handlung gefragt, ob gleich mit den Parteivorträgen begonnen werden könne oder</w:t>
      </w:r>
    </w:p>
    <w:p>
      <w:r>
        <w:t>- 9 - ob es vorab schon Bemerkungen gebe (Prot. Vi S. 9), worauf die Parteien erklär- ten, für die Parteivorträge bereit zu sein (ebenda). Aus der Formulierung, ob gleich mit den Parteivorträgen begonnen werden könne "oder ob es vorab schon Bemerkungen gibt", konnten die Parteien keinesfalls schliessen, Noven wären nur noch in diesen schon vorab abgegebenen Bemerkungen zulässig. Die Beklagte war entgegen der Klägerin nicht gehalten, dagegen zu opponieren (act. 60 Rz. 8). Sie durfte sich vielmehr darauf verlassen, dass mit dem ersten Parteivortrag – als einem ihrer beiden Vorträge mit unbeschränktem Novenrecht – neue Tatsachen- behauptungen und Beweisofferten unbeschränkt zulässig sein würden. Unabhän- gig von der Frage, ob die begründete Klage und die schriftliche Stellungnahme uneingeschränkt als erster Schriftenwechsel anzusehen seien (oder ob den Par- teien an der Hauptverhandlung noch zwei Vorträge mit unbeschränktem Noven- recht zugestanden hätten), so hat die Vorinstanz mit der Vorladung unzweifelhaft zu erkennen gegeben, dass im ersten Parteivortrag Noven unbeschränkt vorge- bracht werden könnten. Angesichts dessen ist es offensichtlich mit Art. 52 ZPO nicht zu vereinbaren, die Parteien zu Beginn der Verhandlung zu fragen, ob es "vorab schon Bemerkungen" gebe oder ob gleich mit den Parteivorträgen begon- nen werden könne, wenn entgegen der Vorladung die Meinung ist, dass Vorbrin- gen im ersten Parteivortrag als verspätet gelten würden. Die Vorinstanz hat die Vorbringen im ersten Parteivortrag zu Unrecht als verspätet erachtet. Bei dieser Sachlage ist nicht zu überprüfen, ob sich die Vorinstanz zu Recht auf BGE 147 III 475 berief. Die Nichtbeachtung der beklagtischen Vorbringen im ersten Parteivortrag erweist sich als treuwidrig. Nur am Rande sei erwähnt, dass der genannte Entscheid bekanntlich auf verbreitete Kritik gestossen ist und über- dies den Gesetzgeber auf den Plan gerufen hat: So hält nunmehr seit dem 1. Ja- nuar 2025 Art. 229 Abs. 1 ZPO ausdrücklich fest, in der Hauptverhandlung könn- ten neue Tatsachen und Beweismittel (falls nicht vorgängig schon zwei Schriften- wechsel oder eine Instruktionsverhandlung stattgefunden haben) im ersten Partei- vortrag unbeschränkt vorgebracht werden, während die alte Fassung von Art. 229 ZPO anstatt "im ersten Parteivortrag" noch "zu Beginn der Hauptverhandlung" lautete. Dass die neue Gesetzesbestimmung auf das vorliegende Verfahren noch nicht anwendbar ist, ist ebenso klar.</w:t>
      </w:r>
    </w:p>
    <w:p>
      <w:r>
        <w:t>- 10 - 3.1. Zur Frage, ob zwischen der Zedentin und der Beklagten überhaupt ein Ver- mögensverwaltungsvertrag zustande gekommen war, verwies die Vorinstanz im angefochtenen Urteil darauf, dass sich das Gericht bereits in der Verfügung vom 21. Juli 2023 (act. 22) ausführlich dazu geäussert habe und diese Verfügung vom Obergericht bestätigt worden sei, weshalb es keinen Grund gebe, weshalb das Gericht auf diese Erwägungen im Entscheid vom 21. Juli 2023 zurückkommen sollte. Vielmehr sei auf die entsprechenden Ausführungen im erwähnten Ent- scheid zu verweisen. Dementsprechend sei erstellt, dass der Vermögensverwal- tungsvertrag so, wie er von der Klägerin (in act. 4/5) eingereicht worden sei, zwi- schen der Zedentin und der Beklagten abgeschlossen worden sei (act. 49 S. 5 E. III.2. unter Hinweis auf act. 22 S. 5 f. E. III./3-4). 3.2. Zu Recht bringt die Beklagte dagegen in der Berufung vor, der Zwischenent- scheid vom 21. Juli 2023 (act. 22) beziehe sich ausschliesslich auf die Eintretens- voraussetzung der örtlichen und sachlichen Zuständigkeit, wobei vom Zustande- kommen des Vermögensverwaltungsvertrags als doppelrelevante Tatsache ge- mäss den klägerischen Tatsachenbehauptungen ausgegangen worden sei (act. 46 S. 5). Genau dies – das Abstellen auf die entsprechenden klägerischen Tatsachenbehauptungen als doppelrelevante Tatsachen bei der Prüfung der Ein- tretensfrage – hat denn die Vorinstanz selbst im Zwischenentscheid ausdrücklich festgehalten (act. 22 S. 6 E. III. 4.). Es ist offensichtlich unzulässig, unter Verweis auf die dortigen Ausführungen vom Zustandekommen des Vermögensverwal- tungsvertrags auszugehen. Dies übersieht die Klägerin in der Berufungsantwort (act. 60 Rz. 11, Rz. 13 f.). Vielmehr hätte die Vorinstanz nach den von der Lehre und Rechtsprechung entwickelten Grundsätzen das Zustandekommen des Ver- mögensverwaltungsvertrags zwischen der Zedentin und der Beklagten prüfen müssen. Sie wird dies – unter Beachtung der rechtzeitig erfolgten (oben, E. 2.) Bestreitungen der Beklagten im ersten Parteivortrag (act. 37 S. 1 f.) – nachzuho- len haben. Ebenso wird die Vorinstanz die weiteren Behauptungen resp. Bestreitungen der Beklagten im ersten Parteivortrag, insbesondere auch betreffend den von der Beklagten geltend gemachten Verzicht auf die Weiterleitung der Retrozessionen,</w:t>
      </w:r>
    </w:p>
    <w:p>
      <w:r>
        <w:t>- 11 - zu beachten haben, was gegebenenfalls auch die Durchführung eines Beweisver- fahrens erforderlich machen wird. Damit ist der Sachverhalt in wesentlichen Tei- len zu vervollständigen. Ein reformatorischer Entscheid der Berufungsinstanz, wie von der Beklagten im Hauptantrag beantragt, fällt daher ausser Betracht. Die Streitsache ist in Gutheissung des Eventualantrags zur ordentlichen Durchführung des Verfahrens an die Vorinstanz zurückzuweisen (Art. 318 Abs. 1 lit. c Ziff. 2 ZPO).</w:t>
      </w:r>
    </w:p>
    <w:p>
      <w:r>
        <w:rPr>
          <w:b/>
        </w:rPr>
        <w:t>E. 4</w:t>
      </w:r>
    </w:p>
    <w:p>
      <w:r>
        <w:t>Schriftliche Mitteilung an die Parteien, an die Berufungsklägerin unter Bei- lage eines Doppels von act. 60, und an die Vorinstanz, je gegen Empfangs- schein, sowie an die Obergerichtskasse.</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26'905.95. Die Beschwerde an das Bundesgericht hat keine aufschiebende Wirkung. Obergericht des Kantons Zürich II. Zivilkammer Die Vorsitzende: i.V. der Gerichtsschreiber: lic. iur. E. Lichti Aschwanden MLaw S. Widmer</w:t>
      </w:r>
    </w:p>
    <w:p>
      <w:r>
        <w:t>- 13 -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