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NP240001 vom 6. Februar 2024</w:t>
      </w:r>
    </w:p>
    <w:p>
      <w:r>
        <w:t>ZH Obergericht, 2024-02-06, DE</w:t>
      </w:r>
    </w:p>
    <w:p>
      <w:r>
        <w:rPr>
          <w:b/>
        </w:rPr>
        <w:t xml:space="preserve">Quelle: </w:t>
      </w:r>
      <w:r>
        <w:t>https://mcp.opencaselaw.ch/entscheid/zh_obergericht_NP240001</w:t>
      </w:r>
    </w:p>
    <w:p>
      <w:r>
        <w:t>FR: ZH_OBERGERICHT NP240001 du 6 février 2024</w:t>
      </w:r>
    </w:p>
    <w:p>
      <w:r>
        <w:t>IT: ZH_OBERGERICHT NP240001 del 6 febbraio 2024</w:t>
      </w:r>
    </w:p>
    <w:p>
      <w:pPr>
        <w:pStyle w:val="Heading2"/>
      </w:pPr>
      <w:r>
        <w:t>Erwägungen</w:t>
      </w:r>
    </w:p>
    <w:p>
      <w:r>
        <w:rPr>
          <w:b/>
        </w:rPr>
        <w:t>E. 1</w:t>
      </w:r>
    </w:p>
    <w:p>
      <w:r>
        <w:t>a) Am 29. September 2022 reichte die Klägerin beim Bezirksgericht Zürich (Vorinstanz) eine Klage über Fr. 30'000.-- für Schadenersatz und Genugtu- ung aus einem Skiunfall ein (Urk. 2; unter Beilage der entsprechenden Klagebewil- ligung, Urk. 1). Im Anschluss an die Hauptverhandlung vom 12. Juni 2023 schlos- sen die Parteien einen Vergleich über Fr. 15'000.--, zahlbar in drei monatlichen Ra- ten à je Fr. 5'000.--; dabei wurde in Ziffer 4 vereinbart, dass der Vergleich dahin- falle, wenn eine der Raten nicht rechtzeitig geleistet werde (Vi-Prot. S. 16; Urk. 28). Mit Verfügung vom 3. Juli 2023 sistierte die Vorinstanz das Verfahren bis 10. Sep- tember 2023, da bis dann klar sei, ob der Vergleich in Kraft bleibe (Urk. 29). Mit Eingabe vom 11. September 2023 ersuchte die Klägerin die Vorinstanz, das Ver- fahren abzuschreiben und erklärte: "Obwohl keine einzige Rate der Vergleichs- summe geleistet wurde, verzichtet die Klägerin hiermit auf eine Weiterführung des Verfahrens und wird nach Erhalt der Abschreibungsverfügung die Vergleichs- summe auf dem Betreibungsweg vollstrecken lassen" (Ur. 31). Nach Einholung ei- ner Stellungnahme des Beklagten (Urk. 34) und einer weiteren Eingabe der Kläge- rin dazu (Urk. 37) schrieb die Vorinstanz das Verfahren als durch Rückzug der Klage erledigt ab, unter Kosten- und Entschädigungsfolgen zulasten der Klägerin (Urk. 39 = Urk. 44). b) Gegen diese (ihr am 5. Januar 2024 zugestellte; Urk. 40) Verfügung er- hob die Klägerin am 15. Januar 2024 fristgerecht Berufung und stellte darin die Berufungsanträge (Urk. 43 S. 2): "1. Die Verfügung vom 11. Dezember 2023 sei aufzuheben und die Sache sei der Vorinstanz zur Weiterführung des Verfahrens zurückzuweisen.</w:t>
      </w:r>
    </w:p>
    <w:p>
      <w:r>
        <w:rPr>
          <w:b/>
        </w:rPr>
        <w:t>E. 2</w:t>
      </w:r>
    </w:p>
    <w:p>
      <w:r>
        <w:t>a) Die Vorinstanz liess in ihrer Verfügung vom 19. September 2023 noch offen, ob die Eingabe der Klägerin vom 11. September 2023 als Klagerückzug anzusehen sei und erwog, die Eingabe könne als Antrag zu einem Verzicht auf Ziffer 4 des Vergleichs (Dahinfallen des Vergleichs bei Nichtleistung der Raten) ver- standen werden (Urk. 32 S. 2). In der angefochtenen Verfügung vom 11. Dezember 2023 begründete die Vorinstanz dann aber, dass und wieso ihr Verfahren als durch Klagerückzug erledigt abzuschreiben sei (Urk. 44 Erw. 3). b) Ein Klagerückzug hat die Wirkung eines rechtskräftigen Entscheides und das Gericht schreibt das Verfahren entsprechend ab (Art. 241 Abs. 2 und 3 ZPO). Die Abschreibung ist dabei ein rein deklaratorischer Akt, weil nach dem System der ZPO bereits der Klagerückzug das Verfahren unmittelbar beendet hat. Nach bun- desgerichtlicher Rechtsprechung kann demgemäss die Abschreibung als solche nicht mit einem Rechtsmittel angefochten werden (angefochten werden kann einzig der mit der Abschreibung erfolgte Entscheid über die Prozesskosten), sondern ist in Bezug auf sämtliche materielle oder prozessuale Mängel des Klagerückzugs die Revision primäres und ausschliessliches Rechtsmittel (BGE 139 III 133; vgl. auch OGer ZH LE180040 vom 26.7.2018, E. 3.1+3.2). Neuestens differenziert das Bundesgericht zwar zwischen Wirksamkeit der Parteierklärung und Wirkung derselben (BGE 149 III 145 E. 2.6 und 2.7), doch steht im vorliegenden Verfahren die Wirksamkeit der Erklärung der Klägerin in deren Eingabe vom 11. September 2023 in Frage, womit es bei der Ausschliesslichkeit der Revision als zulässiges Rechtsmittel bleibt. c) Nach dem Gesagten kann auf die Berufung der Klägerin nicht eingetreten werden.</w:t>
      </w:r>
    </w:p>
    <w:p>
      <w:r>
        <w:rPr>
          <w:b/>
        </w:rPr>
        <w:t>E. 3</w:t>
      </w:r>
    </w:p>
    <w:p>
      <w:r>
        <w:t>a) Das Berufungsverfahren beschlägt eine vermögensrechtliche An- gelegenheit mit einem Streitwert von Fr. 30'000.-- (Urk. 44 Erw. 4.1). Die zweitin- stanzliche Entscheidgebühr ist in Anwendung von § 4 Abs. 1 und 2, § 10 Abs. 1 und § 12 der Gerichtsgebührenverordnung auf Fr. 1'200.-- festzusetzen. b) Die Gerichtskosten des Berufungsverfahrens sind ausgangsgemäss der Klägerin aufzuerlegen (Art. 106 Abs. 1 ZPO).</w:t>
      </w:r>
    </w:p>
    <w:p>
      <w:r>
        <w:t>- 4 - c) Für das Berufungsverfahren sind keine Parteientschädigungen zuzu- sprechen, der Klägerin zufolge ihres Unterliegens, dem Beklagten mangels rele- vanter Aufwendungen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