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NP230008 vom 9. Juni 2023</w:t>
      </w:r>
    </w:p>
    <w:p>
      <w:r>
        <w:t>ZH Obergericht, 2023-06-09, DE</w:t>
      </w:r>
    </w:p>
    <w:p>
      <w:r>
        <w:rPr>
          <w:b/>
        </w:rPr>
        <w:t xml:space="preserve">Quelle: </w:t>
      </w:r>
      <w:r>
        <w:t>https://mcp.opencaselaw.ch/entscheid/zh_obergericht_NP230008</w:t>
      </w:r>
    </w:p>
    <w:p>
      <w:r>
        <w:t>FR: ZH_OBERGERICHT NP230008 du 9 juin 2023</w:t>
      </w:r>
    </w:p>
    <w:p>
      <w:r>
        <w:t>IT: ZH_OBERGERICHT NP230008 del 9 giugno 2023</w:t>
      </w:r>
    </w:p>
    <w:p>
      <w:pPr>
        <w:pStyle w:val="Heading2"/>
      </w:pPr>
      <w:r>
        <w:t>Erwägungen</w:t>
      </w:r>
    </w:p>
    <w:p>
      <w:r>
        <w:rPr>
          <w:b/>
        </w:rPr>
        <w:t>E. 1</w:t>
      </w:r>
    </w:p>
    <w:p>
      <w:r>
        <w:t>Am 22. September 2022 reichte die Klägerin und Berufungsbeklagte (nach- folgend Berufungsbeklagte) gegen den Beklagten und Berufungskläger (nachfol- gend Berufungskläger) beim Einzelgericht des Bezirksgerichtes Winterthur eine Teil-Forderungsklage ein. Die Klägerin verlangte gestützt auf einen angeblich zwischen den Parteien geschlossenen Darlehensvertrag die Rückzahlung von CHF 20'000.– zzgl. Zins zu 0.25 % seit dem 30. April 2018 und Zins zu 5 % seit 1. Juni 2018 (act. 1 S. 2).</w:t>
      </w:r>
    </w:p>
    <w:p>
      <w:r>
        <w:rPr>
          <w:b/>
        </w:rPr>
        <w:t>E. 2</w:t>
      </w:r>
    </w:p>
    <w:p>
      <w:r>
        <w:t>Die Vorinstanz holte von der Berufungsbeklagten einen Kostenvorschuss ein und setze dem Berufungskläger Frist zur schriftlichen Stellungnahme zur Klage an (act. 5). Anstelle einer Stellungnahme reichte dieser am 9. Dezember 2022 ein Gesuch um unentgeltliche Rechtspflege ein (act. 11; act. 12/1-4). Am 11. Januar 2023 stellte er zudem ein Gesuch um Verschiebung der auf den 20. Januar 2023 angesetzten Hauptverhandlung und wünschte einen vorgängigen Entscheid über sein Gesuch um Gewährung der unentgeltlichen Rechtspflege (act. 15). Mit Ver- fügung vom 16. Januar 2023 wies die Vorinstanz das Verschiebungsgesuch ab. In den Erwägungen wies sie daraufhin, dass der Berufungskläger an der Ver- handlung zum Gesuch um unentgeltliche Rechtspflege angehört werde (act. 16).</w:t>
      </w:r>
    </w:p>
    <w:p>
      <w:r>
        <w:rPr>
          <w:b/>
        </w:rPr>
        <w:t>E. 3</w:t>
      </w:r>
    </w:p>
    <w:p>
      <w:r>
        <w:t>Zur Hauptverhandlung am 20. Januar 2023 erschienen die Parteien persön- lich. Nachdem dem Berufungskläger zu Beginn der Verhandlung das Wort zur Begründung seines Gesuchs um unentgeltliche Rechtspflege erteilt worden war, warf er dem Richter ein ärztliches Zeugnis betreffend Verhandlungsunfähigkeit hin (act. 18) und verliess anschliessend den Gerichtssaal (Prot. Vi. S. 6). Mit Verfü- gung vom 20. Januar 2023 wies die Vorinstanz das sinngemäss gestellte Ver- schiebungsgesuch sowie das Gesuch um unentgeltliche Rechtspflege ab und fäll- te am gleichen Tag folgendes Urteil (act. 25 = act. 29 = act. 30 [Aktenexemplar):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