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NP230001 vom 15. Dezember 2023</w:t>
      </w:r>
    </w:p>
    <w:p>
      <w:r>
        <w:t>ZH Obergericht, 2023-12-15, DE</w:t>
      </w:r>
    </w:p>
    <w:p>
      <w:r>
        <w:rPr>
          <w:b/>
        </w:rPr>
        <w:t xml:space="preserve">Quelle: </w:t>
      </w:r>
      <w:r>
        <w:t>https://mcp.opencaselaw.ch/entscheid/zh_obergericht_NP230001</w:t>
      </w:r>
    </w:p>
    <w:p>
      <w:r>
        <w:t>FR: ZH_OBERGERICHT NP230001 du 15 décembre 2023</w:t>
      </w:r>
    </w:p>
    <w:p>
      <w:r>
        <w:t>IT: ZH_OBERGERICHT NP230001 del 15 dicembre 2023</w:t>
      </w:r>
    </w:p>
    <w:p>
      <w:pPr>
        <w:pStyle w:val="Heading2"/>
      </w:pPr>
      <w:r>
        <w:t>Erwägungen</w:t>
      </w:r>
    </w:p>
    <w:p>
      <w:r>
        <w:rPr>
          <w:b/>
        </w:rPr>
        <w:t>E. 1.1</w:t>
      </w:r>
    </w:p>
    <w:p>
      <w:r>
        <w:t>Der Kläger und Berufungskläger (nachfolgend: Kläger) machte mit Eingabe von 22. November 2021 eine Klage mit obengenannten Rechtsbegehren beim Einzelgericht im vereinfachten Verfahren des Bezirksgerichtes Winterthur (nach- folgend: Vorinstanz) hängig. Am 18. Juli 2022 erliess die Vorinstanz ein unbe- gründetes Urteil, mit welchem sie die Klage abwies (act. 24). Das begründete Ur- teil (act. 30 = act. 35/2 = act. 36 [Aktenexemplar]) wurde den Parteien am 17. No- vember 2022 verschickt (act. 31).</w:t>
      </w:r>
    </w:p>
    <w:p>
      <w:r>
        <w:rPr>
          <w:b/>
        </w:rPr>
        <w:t>E. 1.2</w:t>
      </w:r>
    </w:p>
    <w:p>
      <w:r>
        <w:t>Dagegen erhob der Kläger am 3. Januar 2023 rechtzeitig Berufung (act. 33). Mit Verfügung vom 18. Januar 2023 wurde ihm Frist zur Leistung eines Kostenvorschusses angesetzt (act. 37). Der Kostenvorschuss wurde fristgerecht mit Valuta vom 24. Januar 2023 bezahlt (act. 39). Nachdem den Beklagten und Berufungsbeklagten (nachfolgend: Beklagten) mit Verfügung vom 21. September 2023 Frist zur Berufungsantwort angesetzt worden war (act. 40), reichten sie die- se mit Eingabe vom 24. Oktober 2023 ein (act. 42). In der Folge wurden die Par- teien zur Verhandlung (Replikrecht sowie Vergleichsverhandlung) am</w:t>
      </w:r>
    </w:p>
    <w:p>
      <w:r>
        <w:t>- 4 - 12. Dezember 2023 vorgeladen (act. 43). Anlässlich dieser Verhandlung schlos- sen die Parteien den folgenden Vergleich (Prot. S. 7; act. 45): "1. Der Kläger reduziert die Klage auf Fr. 3'000.–, und die Beklagten anerkennen sie in diesem Umfang. Die Be- klagten verpflichten sich, diesen Betrag bis spätestens 31. Dezember 2023 zu bezahlen.</w:t>
      </w:r>
    </w:p>
    <w:p>
      <w:r>
        <w:rPr>
          <w:b/>
        </w:rPr>
        <w:t>E. 2</w:t>
      </w:r>
    </w:p>
    <w:p>
      <w:r>
        <w:t>Die Parteien übernehmen die Gerichtskosten des vorliegenden Verfahrens je zur Hälfte und verzichten gegen- seitig auf Parteientschädigung.</w:t>
      </w:r>
    </w:p>
    <w:p>
      <w:r>
        <w:rPr>
          <w:b/>
        </w:rPr>
        <w:t>E. 3</w:t>
      </w:r>
    </w:p>
    <w:p>
      <w:r>
        <w:t>Die Kosten des zweitinstanzlichen Verfahrens werden den Parteien je zur Hälfte auferlegt und aus dem vom Berufungskläger geleisteten Kostenvor- schuss bezogen. Der Überschuss wird dem Berufungskläger zurückerstattet, unter Vorbehalt eines allfälligen Verrechnungsanspruchs. Die Berufungsbe- klagten werden verpflichtet, dem Berufungskläger Fr. 435.– zu ersetzen.</w:t>
      </w:r>
    </w:p>
    <w:p>
      <w:r>
        <w:rPr>
          <w:b/>
        </w:rPr>
        <w:t>E. 4</w:t>
      </w:r>
    </w:p>
    <w:p>
      <w:r>
        <w:t>Es werden keine Parteientschädigungen zugesprochen.</w:t>
      </w:r>
    </w:p>
    <w:p>
      <w:r>
        <w:rPr>
          <w:b/>
        </w:rPr>
        <w:t>E. 5</w:t>
      </w:r>
    </w:p>
    <w:p>
      <w:r>
        <w:t>Schriftliche Mitteilung an die Parteien sowie – unter Rücksendung der erst- instanzlichen Akten – an das Bezirksgericht Winterthur, je gegen Empfangs- schein.</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Die Gerichtsschreiberin: MLaw N. Gautschi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