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NP220015 vom 24. November 2022</w:t>
      </w:r>
    </w:p>
    <w:p>
      <w:r>
        <w:t>ZH Obergericht, 2022-11-24, DE</w:t>
      </w:r>
    </w:p>
    <w:p>
      <w:r>
        <w:rPr>
          <w:b/>
        </w:rPr>
        <w:t xml:space="preserve">Quelle: </w:t>
      </w:r>
      <w:r>
        <w:t>https://mcp.opencaselaw.ch/entscheid/zh_obergericht_NP220015</w:t>
      </w:r>
    </w:p>
    <w:p>
      <w:r>
        <w:t>FR: ZH_OBERGERICHT NP220015 du 24 novembre 2022</w:t>
      </w:r>
    </w:p>
    <w:p>
      <w:r>
        <w:t>IT: ZH_OBERGERICHT NP220015 del 24 novembre 2022</w:t>
      </w:r>
    </w:p>
    <w:p>
      <w:pPr>
        <w:pStyle w:val="Heading2"/>
      </w:pPr>
      <w:r>
        <w:t>Erwägungen</w:t>
      </w:r>
    </w:p>
    <w:p>
      <w:r>
        <w:rPr>
          <w:b/>
        </w:rPr>
        <w:t>E. 28</w:t>
      </w:r>
    </w:p>
    <w:p>
      <w:r>
        <w:t>Oktober 2022 angesetzten Nachfrist geleistet (Urk. 67, 69 und 70). 1.4. Die vorinstanzlichen Akten wurden beigezogen (Urk. 1-60 und Urk. 66/61- 64). Da sich die Berufung – wie nachfolgend aufzuzeigen sein wird – sogleich als offensichtlich unbegründet erweist, erübrigt sich das Einholen einer Berufungsan- twort (Art. 312 Abs. 1 ZPO). 2.1. 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w:t>
      </w:r>
    </w:p>
    <w:p>
      <w:r>
        <w:t>- 6 - haft zu betrachten ist bzw. an einem der genannten Mängel leidet. Das setzt (im Sinne einer von Amtes wegen zu prüfenden Eintretensvoraussetzung) voraus, dass die Berufungsklägerin die vorinstanzlichen Erwägungen bezeichnet, die sie anficht, sich argumentativ mit diesen auseinandersetzt und mittels genügend prä- ziser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 scheid erhoben werden (vgl. BGE 142 III 413 E. 2.2.4 m.H.; BGE 141 III 569 E. 2.3.3 = Pra 105 [2016] Nr. 99; BGE 138 III 374 E. 4.3.1; BGer 4A_56/2021 vom</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24. November 2022 Obergericht des Kantons Zürich I. Zivilkammer Der Vorsitzende: Der Gerichtsschreiber: lic. iur. A. Huizinga lic. iur. M. Hochuli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