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NP220014 vom 16. November 2022</w:t>
      </w:r>
    </w:p>
    <w:p>
      <w:r>
        <w:t>ZH Obergericht, 2022-11-16, DE</w:t>
      </w:r>
    </w:p>
    <w:p>
      <w:r>
        <w:rPr>
          <w:b/>
        </w:rPr>
        <w:t xml:space="preserve">Quelle: </w:t>
      </w:r>
      <w:r>
        <w:t>https://mcp.opencaselaw.ch/entscheid/zh_obergericht_NP220014</w:t>
      </w:r>
    </w:p>
    <w:p>
      <w:r>
        <w:t>FR: ZH_OBERGERICHT NP220014 du 16 novembre 2022</w:t>
      </w:r>
    </w:p>
    <w:p>
      <w:r>
        <w:t>IT: ZH_OBERGERICHT NP220014 del 16 novembre 2022</w:t>
      </w:r>
    </w:p>
    <w:p>
      <w:pPr>
        <w:pStyle w:val="Heading2"/>
      </w:pPr>
      <w:r>
        <w:t>Erwägungen</w:t>
      </w:r>
    </w:p>
    <w:p>
      <w:r>
        <w:rPr>
          <w:b/>
        </w:rPr>
        <w:t>E. 1</w:t>
      </w:r>
    </w:p>
    <w:p>
      <w:r>
        <w:t>Die Klägerin und Berufungsklägerin (fortan: Klägerin) hat ihren steuerrechtli- chen Wohnsitz in Zürich/ZH. In den Steuerperioden von 2011 bis und mit 2018 reichte sie keine Steuererklärungen ein, weshalb sie von der Veranlagungsbehör- de für diese Steuerperioden veranlagt wurde. Am 27. August 2020 erliess der Be- klagte und Berufungsbeklagte (nachfolgend: Beklagter) gegenüber der Klägerin eine Sicherstellungsverfügung, gegen welche die Klägerin am 2. September 2020 Beschwerde an das Verwaltungsgericht des Kantons Zürich erhob. Mit Urteil vom 25. August 2021 hiess das Verwaltungsgericht die Beschwerde insofern gut, als anstelle von Fr. 50'000.– lediglich der Betrag von Fr. 22'012.50 sicherzustellen sei. Im Übrigen wies das Verwaltungsgericht die Beschwerde ab, soweit darauf einzutreten war. Gegen diesen Entscheid erhob die Klägerin mit Eingabe vom 15. Oktober 2021 Beschwerde in öffentlich-rechtlichen Angelegenheiten beim Bundesgericht. Mit Urteil vom 23. Dezember 2021 wies dieses sie ab, soweit es</w:t>
      </w:r>
    </w:p>
    <w:p>
      <w:r>
        <w:t>- 4 - darauf eintrat. Dieses Urteil erwuchs in Rechtskraft (vgl. Urk. 10/1). In der gestützt auf die rechtskräftige Sicherstellungsverfügung vom 27. August 2020 angehobene Betreibung Nr. 1 des Betreibungsamts Zürich ... wurde der Klägerin am 4. Mai 2022 der Zahlungsbefehl zugestellt (Urk. 2). Dagegen erhob die Klägerin am 16. Mai 2022 Rechtsvorschlag (vgl. Urk. 10/1).</w:t>
      </w:r>
    </w:p>
    <w:p>
      <w:r>
        <w:rPr>
          <w:b/>
        </w:rPr>
        <w:t>E. 1.1</w:t>
      </w:r>
    </w:p>
    <w:p>
      <w:r>
        <w:t>Die Vorinstanz liess sich zur Frage der rechtsgenügenden Vertretung des Beklagten nicht ausdrücklich vernehmen. Aufgrund der Tatsache, dass die Hauptverhandlung vom 1. Juni 2022 vor Vorinstanz mit den anwesenden Perso- nen durchgeführt und im Nachgang ein Entscheid getroffen wurde, ist davon aus- zugehen, dass die Vorinstanz die Vertretung des Beklagten durch lic. iur. X._____ als unproblematisch beurteilte (vgl. Prot. I. S. 4 ff.; Urk. 26).</w:t>
      </w:r>
    </w:p>
    <w:p>
      <w:r>
        <w:rPr>
          <w:b/>
        </w:rPr>
        <w:t>E. 1.2</w:t>
      </w:r>
    </w:p>
    <w:p>
      <w:r>
        <w:t>Die Klägerin bezieht sich in ihrer Berufungsschrift zunächst auf den Wortlaut der Vorladung der Vorinstanz (Urk. 9/1) und rügt gestützt darauf, an der vor- instanzlichen Hauptverhandlung sei für den Beklagten eine Person ohne rechts- genügende Vollmacht erschienen. Es wäre Aufgabe der Vorinstanz gewesen, zu überprüfen, wer die erschienene Person gewesen sei und ob eine ausreichende Bevollmächtigung vorgelegen habe. Die Vorinstanz habe dies jedoch nicht ge- macht, respektive auch keinen Ausweis überprüft. Sie hätte aufgrund der fehlen- den Vollmacht festhalten müssen, dass der Beklagte unentschuldigt nicht er- schienen sei. Es sei für den Beklagten deshalb offensichtlich unmöglich gewesen, die Forderung zu begründen oder einen Vergleich abzuschliessen. Aus Sicht der Klägerin wäre ihre Klage deshalb gutzuheissen gewesen (Urk. 25 Rz. 6-8).</w:t>
      </w:r>
    </w:p>
    <w:p>
      <w:r>
        <w:rPr>
          <w:b/>
        </w:rPr>
        <w:t>E. 1.3</w:t>
      </w:r>
    </w:p>
    <w:p>
      <w:r>
        <w:t>Die Vertretungsbefugnis kann sich entweder aus einer Ermächtigung des Vollmachtgebers (vgl. Art. 32 ff. OR) oder aber aus einer gesetzlichen Norm er- geben. Entsprechend ist eine Vollmacht nicht erforderlich, wenn sich die Vertre- tungsbefugnis aus einem Erlass ergibt. Gemäss § 7 lit. d der Verordnung über die Organisation des kantonalen Steueramtes (VO OKStA ZH; LS 631.51) übernimmt die Dienstabteilung Inkasso die Aufgabe der Vertretung des Kantons in Inkasso- verfahren, unter Vorbehalt von § 8 lit. a VO OKStA ZH. Im Sinne von § 8 lit. a VO OKStA ZH erfüllt die Gruppe Bezugsdienste die Aufgabe der Vertretung des Kan- tons in zugewiesenen Inkassoverfahren.</w:t>
      </w:r>
    </w:p>
    <w:p>
      <w:r>
        <w:t>- 8 -</w:t>
      </w:r>
    </w:p>
    <w:p>
      <w:r>
        <w:rPr>
          <w:b/>
        </w:rPr>
        <w:t>E. 1.4</w:t>
      </w:r>
    </w:p>
    <w:p>
      <w:r>
        <w:t>Für den Beklagten ist anlässlich der vorinstanzlichen Hauptverhandlung vom 1. Juni 2022 lic. iur. X._____ erschienen (vgl. Prot. I S. 4). Aus den Akten ist er- sichtlich, dass es sich beim Juristischen Sekretär lic. iur. X._____ um einen Mitar- beiter der Gruppe Bezugsdienste des kantonalen Steueramts handelt und er be- reits mit dem vorliegenden Inkassoverfahren befasst war (siehe Urk. 10/1 und Urk. 12). Da der Gruppe Bezugsdienste im Sinne von § 8 lit. a VO OKStA ZH die Aufgabe zufällt, den Kanton in zugewiesenen Inkassoverfahren zu vertreten, ist nicht zu beanstanden, dass sich der Beklagte in vorliegendem Verfahren durch lic. iur. X._____ vertreten lässt. Das diesbezügliche Vorbringen der Klägerin er- weist sich damit als unbegründet. Im Übrigen war die Vorinstanz nicht gehalten, die Identität der erschienenen Personen zu überprüfen, zumal daran im Zeitpunkt der Verhandlung keinerlei Zweifel bestanden beziehungsweise die Klägerin nicht aufzeigt, weshalb die Vorinstanz an der Identität hätte zweifeln müssen. 2. Anträge des Beklagten</w:t>
      </w:r>
    </w:p>
    <w:p>
      <w:r>
        <w:rPr>
          <w:b/>
        </w:rPr>
        <w:t>E. 2</w:t>
      </w:r>
    </w:p>
    <w:p>
      <w:r>
        <w:t>Mit Eingabe vom 5. Mai 2022 (Datum Eingang) machte die Klägerin beim Einzelgericht im vereinfachten Verfahren am Bezirksgericht Zürich die vorliegende Klage betreffend Feststellung des Nichtbestehens einer Schuld im Sinne von Art. 85a SchKG mit den eingangs wiedergegebenen Rechtsbegehren anhängig (Urk. 1). Zur Vermeidung unnötiger Wiederholungen kann hinsichtlich des weite- ren vorinstanzlichen Prozessverlaufs auf die entsprechenden Erwägungen im an- gefochtenen Urteil verwiesen werden (vgl. Urk. 26 S. 2). Am 13. Juli 2022 erging das Urteil der Vorinstanz (Urk. 26).</w:t>
      </w:r>
    </w:p>
    <w:p>
      <w:r>
        <w:rPr>
          <w:b/>
        </w:rPr>
        <w:t>E. 2.1</w:t>
      </w:r>
    </w:p>
    <w:p>
      <w:r>
        <w:t>Sowohl im Verlaufsprotokoll der Vorinstanz als auch im vorinstanzlichen Ur- teil vom 13. Juli 2022 sind unter den entsprechenden Titeln lediglich die Rechts- begehren der Klägerin aufgeführt. Rechtsbegehren des Beklagten werden an vor- genannten Stellen hingegen keine genannt (vgl. Prot. I. S. 2 und Urk. 26 S. 2).</w:t>
      </w:r>
    </w:p>
    <w:p>
      <w:r>
        <w:rPr>
          <w:b/>
        </w:rPr>
        <w:t>E. 2.2</w:t>
      </w:r>
    </w:p>
    <w:p>
      <w:r>
        <w:t>Die Klägerin rügt, der Beklagte habe vor Vorinstanz trotz entsprechendem Hinweis auf der Vorladung zur Hauptverhandlung keine Anträge gestellt. Es sei deshalb rechtswidrig beziehungsweise verfassungswidrig, ihre Klage ohne einen Antrag auf Abweisung abzuweisen. Ebenso sei es von der Vorinstanz rechtswid- rig gewesen, ihr die Kosten aufzuerlegen, ohne einen entsprechenden Antrag der Gegenseite zu erhalten (Urk. 25 Rz. 9 f.).</w:t>
      </w:r>
    </w:p>
    <w:p>
      <w:r>
        <w:rPr>
          <w:b/>
        </w:rPr>
        <w:t>E. 2.3</w:t>
      </w:r>
    </w:p>
    <w:p>
      <w:r>
        <w:t>Sowohl die Klägerin als auch der Beklagte haben grundsätzlich Rechtsbe- gehren zu stellen (vgl. Art. 221 Abs. 1 lit. b ZPO und Art. 222 Abs. 2 ZPO). Ge- mäss Art. 245 Abs. 1 ZPO lädt das Gericht die Parteien zur Verhandlung vor und stellt der beklagten Partei die Klage zu, sofern diese keine Begründung enthält. Nach Art. 228 Abs. 1 ZPO stellen die Parteien ihre Anträge nach der Eröffnung der Hauptverhandlung und begründen diese. Parteianträge sind eine Aufforde-</w:t>
      </w:r>
    </w:p>
    <w:p>
      <w:r>
        <w:t>- 9 - rung an das Gericht, eine bestimmte inhaltliche Entscheidung oder eine pro- zessuale Anordnung im Verfahren zu treffen. Die Anträge brauchen sodann eine tatsächliche Begründung (Tatsachenbehauptungen). Die Parteien sind nicht ge- halten, den ganzen Sachverhalt erneut darzulegen. Vielmehr sollen sie den mas- sgebenden Sachverhalt in gedrängter, konzentrierter Form präsentieren, um das Gericht von ihrem Standpunkt zu überzeugen (BSK ZPO-WILLISEGGER, Art. 228 N 19 ff.). Sind Rechtsbegehren unklar, sind sie nach ihrem objektiven Sinngehalt und nach dem Grundsatz von Treu und Glauben gemäss Art. 52 ZPO auszule- gen. Dabei kann das Gericht auch auf die Klagebegründung abstellen und unter Umständen durch Ausübung der gerichtlichen Fragepflicht gemäss Art. 56 ZPO eine Klärung herbeiführen (KUKO ZPO-RICHERS/NAEGELI, Art. 221 N 14a m.w.H.). Die Gerichtskosten werden von Amtes wegen festgesetzt und verteilt (Art. 105 Abs. 1 ZPO). Die Prozesskosten werden grundsätzlich der unterliegenden Partei auferlegt (vgl. Art. 106 Abs. 1 Satz 1 ZPO). Hat keine Partei vollständig obsiegt, werden die Prozesskosten nach dem Ausgang des Verfahrens verteilt (Art. 106 Abs. 2 ZPO). Dies bedeutet, dass diejenige Partei, die mehr unterliegt, den grös- seren Kostenanteil zu übernehmen hat (KUKO ZPO-SCHMID/JENT-SØRENSEN, Art. 106 N 2).</w:t>
      </w:r>
    </w:p>
    <w:p>
      <w:r>
        <w:rPr>
          <w:b/>
        </w:rPr>
        <w:t>E. 2.4</w:t>
      </w:r>
    </w:p>
    <w:p>
      <w:r>
        <w:t>Dem Verhandlungsprotokoll des vorinstanzlichen Verfahrens ist zu entneh- men, dass der Beklagte im Rahmen des ersten Parteivortrags die Klage der Klä- gerin im Umfang von Fr. 7'158.95 anerkannt sowie im Umfang von Fr. 11'003.75 bestritten und seinen Standpunkt im Verlaufe der Verhandlung mündlich begrün- det hat (vgl. Prot. I S. 5 ff.). Entsprechend ist davon auszugehen, dass der Be- klagte sinngemäss die Abweisung der Klage im Umfang von Fr. 11'003.75 bean- tragte. Das Vorbringen der Klägerin, der Beklagte habe keine Anträge gestellt ist damit aktenwidrig. Die Gerichtskosten sind sodann wie ausgeführt von Amtes we- gen festzusetzen und die Prozesskosten sind gemäss den Grundsätzen in Art. 106 ZPO zu verteilen. Ein Antrag des Beklagten in Bezug auf die Gerichts- kosten ist somit – entgegen der Ansicht der Klägerin – nicht notwendig. Hinsicht- lich einer allfälligen Parteientschädigung wären Anträge zwar notwendig, im vor- liegenden Verfahren wurden von der Vorinstanz jedoch keine Parteientschädi-</w:t>
      </w:r>
    </w:p>
    <w:p>
      <w:r>
        <w:t>- 10 - gungen zugesprochen. Die vorgenannte Rüge der Klägerin erweist sich damit insgesamt als unbegründet. 3. Betreibung gestützt auf die Sicherstellungsverfügung vom 27. August 2020</w:t>
      </w:r>
    </w:p>
    <w:p>
      <w:r>
        <w:rPr>
          <w:b/>
        </w:rPr>
        <w:t>E. 3</w:t>
      </w:r>
    </w:p>
    <w:p>
      <w:r>
        <w:t>Am 14. September 2022 erhob die Klägerin rechtzeitig (vgl. Urk. 22) Beru- fung und stellte die vorgenannten Berufungsanträge (Urk. 25 S. 1 f.).</w:t>
      </w:r>
    </w:p>
    <w:p>
      <w:r>
        <w:rPr>
          <w:b/>
        </w:rPr>
        <w:t>E. 3.1</w:t>
      </w:r>
    </w:p>
    <w:p>
      <w:r>
        <w:t>Die Vorinstanz erwog zusammengefasst, der Beklagte habe zugestanden, dass die für das Jahr 2016 in Betreibung gesetzte Forderung getilgt worden und der Betrag für das Jahr 2019 nicht vollstreckbar sei. Es sei deshalb nur noch der Bestand der für die Jahre 2017 und 2018 verlangten Steuerbeträge zu prüfen. Gestützt auf die rechtskräftige Veranlagungsverfügung vom 9. September 2019, die Steuerrechnung vom 27. Oktober 2020 sowie Art. 163 Abs. 1 DBG, Art. 164 Abs. 1 DBG und Art. 3 Abs. 1 lit. a der Verordnung des EFD über Fälligkeit und Verzinsung der direkten Bundessteuer (SR 642.124) kam die Vorinstanz zum Schluss, der Beklagte habe nachgewiesen, dass die Klägerin für die direkte Bun- dessteuer 2017 einen Betrag von Fr. 5'530.20 zuzüglich 3% Zins seit 27. November 2020 schulde. Im übrigen Umfang der Betreibung von Fr. 13'620.– sowie der gesamthaft geforderten Zinsen von 3% seit 28. August 2020 sei der Nachweis nicht gelungen und die Klage in diesem Umfang entsprechend gutzu- heissen (Urk. 26 S. 5 ff.).</w:t>
      </w:r>
    </w:p>
    <w:p>
      <w:r>
        <w:rPr>
          <w:b/>
        </w:rPr>
        <w:t>E. 3.2</w:t>
      </w:r>
    </w:p>
    <w:p>
      <w:r>
        <w:t>Die Klägerin rügt, sie habe weder die Sicherstellungsverfügung vom 28. August 2020, noch eine Rechnung oder Mahnung in Bezug auf die Veranla- gungsverfügungen der Jahre 2017 und 2018 erhalten. Die Forderungen seien deshalb nicht fällig und sie könne auch nicht in Verzug sein, weshalb auch keine Verzugszinsen geschuldet seien. Es sei durch den Beklagten ausserdem nicht begründet oder belegt worden, dass die vorgenannten Veranlagungsverfügungen rechtskräftig und vollstreckbar seien. Gemäss Art. 67 Abs. 4 SchKG sei es erfor- derlich, dass eine Forderungsurkunde und deren Datum auf dem Betreibungsbe- gehren beziehungsweise auf dem Zahlungsbefehl genannt würden. Die Veranla- gungsverfügungen seien nicht auf dem Zahlungsbefehl erwähnt, und es sei wäh- rend der Verhandlung weder begründet noch belegt worden, dass diese Forde- rungen vollstreckbar, fällig oder in Verzug seien (vgl. Urk. 25 Rz. 11 f., Rz. 18-21, Rz. 24 und Rz. 28). In diesem Zusammenhang macht die Klägerin in ihrer Beru- fungsschrift sodann geltend, eine Betreibung auf Zahlung gestützt auf eine Si-</w:t>
      </w:r>
    </w:p>
    <w:p>
      <w:r>
        <w:t>- 11 - cherstellungsverfügung sei gar nicht möglich. Eine Sicherstellungsverfügung gelte gemäss Art. 80 SchKG nicht als vollstreckbare Urkunde in Bezug auf eine Betrei- bung auf Zahlung (vgl. Urk. 25 Rz. 16 f. und Rz. 26). Schliesslich rügt die Kläge- rin, der Beklagte habe den Zustellnachweis beziehungsweise die Rechtskraftbe- scheinigungen erst nach der Verhandlung und damit zu spät eingereicht (vgl. Urk. 25 Rz. 17).</w:t>
      </w:r>
    </w:p>
    <w:p>
      <w:r>
        <w:rPr>
          <w:b/>
        </w:rPr>
        <w:t>E. 3.3</w:t>
      </w:r>
    </w:p>
    <w:p>
      <w:r>
        <w:t>Gemäss Art. 85a Abs. 1 SchKG kann der Betriebene ungeachtet eines allfäl- ligen Rechtsvorschlages jederzeit vom Gericht des Betreibungsortes feststellen lassen, dass die Schuld nicht oder nicht mehr besteht oder gestundet ist. Heisst das Gericht die Klage gut, so hebt es die Betreibung auf oder stellt sie ein (Art. 85a Abs. 3 SchKG). Die negative Feststellungsklage im Sinne von Art. 85a SchKG ist dadurch gekennzeichnet, dass der Schuldner als Kläger und der Gläu- biger als Beklagter auftritt. Die umgekehrten Parteirollen ändern indes nichts an der im materiellen Recht begründeten Verteilung der Beweislast. Obwohl der Gläubiger die Beklagtenrolle hat, trägt er die volle Substanzierungs- und Beweis- last für den Bestand seiner Forderung (BSK SchKG I-BANGERT, Art. 85a N 4 m.w.H.). Grundsätzlich ist zwischen einer Betreibung auf Geldzahlung und einer Betreibung auf Sicherheitsleistung zu unterscheiden (Art. 38 Abs. 1 SchKG). Die Sicherheitsleistung wird bei der kantonalen Depositenanstalt als Sicherheit für die sichergestellte Forderung hinterlegt, die betreffende Forderung bleibt bestehen (BSK SchKG I-ACOCELLA, Art. 38 N 19). Die Sicherstellungsverfügung gibt den si- cherzustellenden Betrag an und ist sofort vollstreckbar. Sie hat im Betreibungs- verfahren die gleichen Wirkungen wie ein vollstreckbares Gerichtsurteil (Art. 169 Abs. 1 des Bundesgesetzes über die direkte Bundessteuer [DBG; SR 642.11]). Beschwerden gegen Sicherstellungsverfügungen haben keine aufschiebende Wirkung (Art. 169 Abs. 4 DBG). Wenn das Betreibungsamt angesichts eines Be- gehrens auf Betreibung auf Sicherheitsleistung irrtümlicherweise einen gewöhnli- chen Zahlungsbefehl erlässt, liegt keine Nichtigkeit vor, da es nicht um einen Fall der Bestimmungen der Betreibungsart nach Art. 38 Abs. 3 SchKG geht (BGer 5A_680/2016 vom 24. März 2017, E. 3.2).</w:t>
      </w:r>
    </w:p>
    <w:p>
      <w:r>
        <w:t>- 12 -</w:t>
      </w:r>
    </w:p>
    <w:p>
      <w:r>
        <w:rPr>
          <w:b/>
        </w:rPr>
        <w:t>E. 3.4</w:t>
      </w:r>
    </w:p>
    <w:p>
      <w:r>
        <w:t>Mit der Klägerin ist zu festzuhalten, dass in einer Betreibung auf Sicherstel- lung auf dem Zahlungsbefehl ein entsprechender Vermerk angebracht werden müsste, was im vorliegenden Zahlungsbefehl in der Betreibung Nr. 1 des Betrei- bungsamtes Zürich ... fälschlicherweise unterlassen wurde (Urk. 2 und Urk. 10/1). Der Zahlungsbefehl war deswegen allerdings nicht von vornherein nichtig, son- dern lediglich anfechtbar. Eine SchKG-Beschwerde gegen den Zahlungsbefehl hat die Klägerin nicht angestrengt, weshalb dieser grundsätzlich Gültigkeit entfal- tet. Im vorliegenden Verfahren betreffend die negative Feststellungsklage im Sin- ne von Art. 85a SchKG geht es somit einzig um die Frage, ob die Forderung, wel- che im vorgenannten Zahlungsbefehl aufgeführt ist, noch besteht. Die Klägerin führt zu Recht aus, dass gemäss Art. 67 Abs. 4 SchKG die Forderungsurkunde und deren Datum im Betreibungsbegehren anzugeben sind. Diese Angaben fin- den gemäss Art. 69 Abs. 2 Ziff. 1 SchKG Eingang in den Zahlungsbefehl. Als For- derungsurkunde ist im genannten Zahlungsbefehl die Sicherstellungsverfügung vom 27. August 2020 mit einem Betrag in der Höhe von Fr. 18'162.70 zu 3% Zins seit 28. August 2020 aufgelistet (Urk. 2 und Urk. 10/1). Die Forderung ist somit ohne Weiteres aus dem Zahlungsbefehl bestimmbar. Der Beklagte hat den Be- stand der geforderten Sicherheitsleistung sodann mittels eingereichter Sicherstel- lungsverfügung sowie den dazugehörigen Rechtsmittelentscheiden belegt (vgl. Urk. 10/1). Die Behauptung der Klägerin, sie habe die Sicherstellungsverfü- gung nicht erhalten, wird durch die ihrerseits dagegen angestrengten Rechtsmit- telverfahren entkräftet. Im Übrigen hat die Klägerin weder vor Vorinstanz noch in ihrer Berufungsschrift dargetan, dass sie die Sicherheitsleistung vollständig er- bracht oder die gesamte Steuerschuld beglichen hätte. Es gibt somit derzeit kei- nen Grund anzuzweifeln, dass die geforderte Sicherheitsleistung im Umfang von Fr. 5'530.20 nach wie vor geschuldet ist. Die Sicherstellungsverfügung wurde so- dann trotz erhobenen Rechtsmitteln sofort vollstreckbar (vgl. Art. 169 DBG). In der Sicherstellungsverfügung ist ein Zins von 3% ab 28. August 2020 aufgeführt und die Zinsschuld wurde auch vom Verwaltungsgericht im vorgenannten Urteil vom 25. August 2021 bestätigt (vgl. Urk. 10/1). Die weiteren Rügen der Klägerin betref- fend die Rechtskraft beziehungsweise die Vollstreckbarkeit der Veranlagungsver- fügungen sowie allfällige unterbliebene Mahnungen sind damit unbeachtlich. Be-</w:t>
      </w:r>
    </w:p>
    <w:p>
      <w:r>
        <w:t>- 13 - züglich der Rüge, der Beklagte habe den Zustellnachweis beziehungsweise die Rechtskraftbescheinigung erst nach der Verhandlung und damit zu spät einge- reicht, bleibt anzumerken, dass die Vorinstanz diesen Umstand zugunsten der Klägerin berücksichtigt und entsprechend mangels nachgewiesener Zustellung lediglich den Forderungsbetrag in der Höhe von Fr. 5'530.20 zuzüglich Zins seit 27. November 2020 als nachgewiesen erachtet hat (Urk. 26 S. 6 f.).</w:t>
      </w:r>
    </w:p>
    <w:p>
      <w:r>
        <w:rPr>
          <w:b/>
        </w:rPr>
        <w:t>E. 3.5</w:t>
      </w:r>
    </w:p>
    <w:p>
      <w:r>
        <w:t>Zusammenfassend ging die Vorinstanz zu Recht – wenn auch mit einer ab- weichenden Begründung – davon aus, dass die Klage der Klägerin im Sinne von Art. 85a SchKG zumindest im Umfang von Fr. 5'530.20 abzuweisen ist. Damit ist die vorinstanzliche Feststellung, wonach die Klage im Umfang von Fr. 13'620.– zzgl. Zins von 3% seit 28. August 2020 sowie im Umfang des für den restlichen Betrag geforderten Zinses von 3% für die Zeit vom 28. August 2020 bis 26. No- vember 2020 gutzuheissen und im Übrigen abzuweisen ist (Urk. 26 S. 8), nicht zu beanstanden.</w:t>
      </w:r>
    </w:p>
    <w:p>
      <w:r>
        <w:rPr>
          <w:b/>
        </w:rPr>
        <w:t>E. 4</w:t>
      </w:r>
    </w:p>
    <w:p>
      <w:r>
        <w:t>Keine Nichtigkeit der Betreibung</w:t>
      </w:r>
    </w:p>
    <w:p>
      <w:r>
        <w:rPr>
          <w:b/>
        </w:rPr>
        <w:t>E. 4.1</w:t>
      </w:r>
    </w:p>
    <w:p>
      <w:r>
        <w:t>Das vorinstanzliche Urteil vom 13. Juli 2022 äussert sich nicht zum vor Vor- instanz erhobenen Rechtsbegehren der Klägerin, die Betreibung Nr. 1 sei für nichtig zu erklären (vgl. Urk. 1 und Urk. 26).</w:t>
      </w:r>
    </w:p>
    <w:p>
      <w:r>
        <w:rPr>
          <w:b/>
        </w:rPr>
        <w:t>E. 4.2</w:t>
      </w:r>
    </w:p>
    <w:p>
      <w:r>
        <w:t>Die Klägerin beantragt wie eingangs ausgeführt auch im Berufungsverfah- ren, die Betreibung Nr. 1 sei für nichtig zu erklären. Sie bringt vor, die Forderung in der Höhe von Fr. 18'162.70 beinhalte Beträge in Bezug auf eine Ordnungsbus- se sowie Steuerforderungen aus dem Jahr 2016, welche vor Betreibungseinlei- tung bezahlt worden seien. Auf Grund dessen sei die Betreibung nichtig (vgl. Urk. 25 Rz. 28).</w:t>
      </w:r>
    </w:p>
    <w:p>
      <w:r>
        <w:rPr>
          <w:b/>
        </w:rPr>
        <w:t>E. 4.3</w:t>
      </w:r>
    </w:p>
    <w:p>
      <w:r>
        <w:t>Verstossen Verfügungen gegen Vorschriften, die im öffentlichen Interesse oder im Interesse von am Verfahren nicht beteiligten Personen erlassen worden sind, so sind sie nichtig (Art. 22 Abs. 1 SchKG). Nichtigkeit einer Verfügung tritt nach ständiger bundesgerichtlicher Rechtsprechung ein, wenn der ihr anhaftende Mangel besonders schwer ist, er offensichtlich oder zumindest leicht erkennbar ist</w:t>
      </w:r>
    </w:p>
    <w:p>
      <w:r>
        <w:t>- 14 - und zudem die Rechtssicherheit durch die Annahme der Nichtigkeit nicht ernsthaft gefährdet wird (BGE 145 III 436 E. 4; BGE 144 IV 362 E. 1.4.3; BGE 139 II 243 E. 11.2; BGE 138 II 501 E. 3.1). Als Nichtigkeitsgründe fallen vorab funktionelle und sachliche Unzuständigkeit der entscheidenden Behörde sowie krasse Verfah- rensfehler in Betracht. Inhaltliche Mängel einer Verfügung führen nur ausnahms- weise zur Nichtigkeit (BGE 145 III 436 E. 4; BGE 145 IV 252 E. 1.3.1; BGE 144 IV 362 E. 1.4.3; BGE 144 IV 57 E. 2.3; BGE 142 II 411 E. 4.2). In Ausnahmefällen kann eine rechtsmissbräuchliche – und damit nichtige – schikanöse Betreibung vorliegen, wenn es offensichtlich ist, dass der Gläubiger mit der Betreibung Ziele verfolgt, die nicht das Geringste mit der Zwangsvollstreckung zu tun haben (vgl. BGE 140 III 481 E. 2.3.1; BGE 130 II 270 E. 3.2.2; BGE 115 III 18 E. 2b). Die Nichtigkeit eines Entscheids ist von sämtlichen rechtsanwendenden Behörden je- derzeit von Amtes wegen zu beachten (BGE 138 II 501 E. 3.1 m.w.H.). Die Nich- tigkeit kann auch erst im Rechtsmittelverfahren festgestellt werden (BGE 136 II 415 E. 1.2 m.w.H.; BGer 2C_252/2018 vom 27. April 2018, E. 3.2).</w:t>
      </w:r>
    </w:p>
    <w:p>
      <w:r>
        <w:rPr>
          <w:b/>
        </w:rPr>
        <w:t>E. 4.4</w:t>
      </w:r>
    </w:p>
    <w:p>
      <w:r>
        <w:t>Die Klägerin bringt keinerlei Sachumstände vor, die auf Nichtigkeit der Be- treibung schliessen lassen könnten. Aus den Akten sind solche ebenfalls nicht er- sichtlich. Auch wenn ein Teil der der Betreibung zugrunde liegenden Forderungen bereits vor deren Einleitung bezahlt wurde, führt dies vor dem Hintergrund der hiervor zitierten Rechtsprechung nicht dazu, dass die vom Beklagten eingeleitete Betreibung nichtig wäre. Die geltend gemachte Nichtigkeit der Betreibung Nr. 1 des Betreibungsamts Zürich ... ist daher nicht gegeben.</w:t>
      </w:r>
    </w:p>
    <w:p>
      <w:r>
        <w:rPr>
          <w:b/>
        </w:rPr>
        <w:t>E. 5</w:t>
      </w:r>
    </w:p>
    <w:p>
      <w:r>
        <w:t>Schriftliche Mitteilung an die Parteien, an den Beklagten unter Beilage der Doppel von Urk. 25 und Urk. 27 und Kopien von Urk. 28/2-4, sowie an die Vorinstanz,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5'530.20. Die Beschwerde an das Bundesgericht hat keine aufschiebende Wirkung. Hinsichtlich des Fristenlaufs gelten die Art. 44 ff. BGG. Zürich, 16. November 2022 Obergericht des Kantons Zürich I. Zivilkammer Der Vorsitzende: Der Gerichtsschreiber: lic. iur. A. Huizinga MLaw A. Eggenberger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