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NP220007 vom 28. Juli 2022</w:t>
      </w:r>
    </w:p>
    <w:p>
      <w:r>
        <w:t>ZH Obergericht, 2022-07-28, DE</w:t>
      </w:r>
    </w:p>
    <w:p>
      <w:r>
        <w:rPr>
          <w:b/>
        </w:rPr>
        <w:t xml:space="preserve">Quelle: </w:t>
      </w:r>
      <w:r>
        <w:t>https://mcp.opencaselaw.ch/entscheid/zh_obergericht_NP220007</w:t>
      </w:r>
    </w:p>
    <w:p>
      <w:r>
        <w:t>FR: ZH_OBERGERICHT NP220007 du 28 juillet 2022</w:t>
      </w:r>
    </w:p>
    <w:p>
      <w:r>
        <w:t>IT: ZH_OBERGERICHT NP220007 del 28 luglio 2022</w:t>
      </w:r>
    </w:p>
    <w:p>
      <w:pPr>
        <w:pStyle w:val="Heading2"/>
      </w:pPr>
      <w:r>
        <w:t>Erwägungen</w:t>
      </w:r>
    </w:p>
    <w:p>
      <w:r>
        <w:rPr>
          <w:b/>
        </w:rPr>
        <w:t>E. 1</w:t>
      </w:r>
    </w:p>
    <w:p>
      <w:r>
        <w:t>Der Beklagte und Berufungskläger (nachfolgend Beklagter) ist Alleineigen- tümer einer Liegenschaft (Wohnung) in C._____. Die Klägerin und Berufungsbe- klagte (nachfolgend Klägerin) macht gegenüber dem Beklagten einen Provisions- anspruch aus einem Maklervertrag zwecks Verkauf dieser Liegenschaft geltend.</w:t>
      </w:r>
    </w:p>
    <w:p>
      <w:r>
        <w:rPr>
          <w:b/>
        </w:rPr>
        <w:t>E. 2</w:t>
      </w:r>
    </w:p>
    <w:p>
      <w:r>
        <w:t>Die Klägerin machte vor Vorinstanz am 1. April 2021 die vorliegende Aner- kennungsklage hängig (act. 1 f.). Der Beklagte nahm mit Eingabe vom 2. Juni 2021 Stellung (act. 13). An der Hauptverhandlung vom 20. September 2021 er- statteten die Parteien Klagebegründung, Klageantwort, Replik und Duplik sowie ihre Novenstellungnahmen. Die anschliessenden Vergleichsgespräche scheiter- ten (act. 30 = Prot. HV, S. 1 ff.). Am 27. Oktober 2021 erliess die Vorinstanz ein Urteil in unbegründeter Fassung, mit welcher die Anerkennungsklage vollumfäng- lich gutgeheissen wurde (act. 31). Der Beklagte ersuchte mit Schreiben vom 13. November 2021 rechtzeitig um Zustellung eines begründeten Entscheids (act. 33). Mit Eingabe vom 26. November 2021 legitimierte sich Rechtsanwalt lic. iur. X._____ als Vertreter des Beklagten (act. 34 f.). Diesem wurde am 28. Februar 2022 (act. 38/2) das begründete Urteil vom 27. Oktober 2021 (act. 37 = act. 42/2 = act. 43 [Aktenexemplar], nachfolgend zitiert als act. 43) zugestellt.</w:t>
      </w:r>
    </w:p>
    <w:p>
      <w:r>
        <w:rPr>
          <w:b/>
        </w:rPr>
        <w:t>E. 3</w:t>
      </w:r>
    </w:p>
    <w:p>
      <w:r>
        <w:t>Die Gerichtskosten des zweitinstanzlichen Verfahrens werden dem Beklag- ten auferlegt und aus dem von ihm geleisteten Kostenvorschuss bezogen. Im Mehrumfang wird der Kostenvorschuss zurückerstattet, unter Vorbehalt einer allfälligen Verrechnungsanspruches.</w:t>
      </w:r>
    </w:p>
    <w:p>
      <w:r>
        <w:rPr>
          <w:b/>
        </w:rPr>
        <w:t>E. 4</w:t>
      </w:r>
    </w:p>
    <w:p>
      <w:r>
        <w:t>Es werden keine Parteientschädigungen zugesprochen.</w:t>
      </w:r>
    </w:p>
    <w:p>
      <w:r>
        <w:rPr>
          <w:b/>
        </w:rPr>
        <w:t>E. 5</w:t>
      </w:r>
    </w:p>
    <w:p>
      <w:r>
        <w:t>Schriftliche Mitteilung an die Parteien, an die Klägerin unter Beilage eines Doppels von act. 40 samt Beilage (act. 42/2), und an das Bezirksgericht Mei- len, je gegen Empfangsschein, sowie mittels elektronischer Übermittlung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27'568.60. Die Beschwerde an das Bundesgericht hat keine aufschiebende Wirkung.</w:t>
      </w:r>
    </w:p>
    <w:p>
      <w:r>
        <w:t>- 10 - Obergericht des Kantons Zürich II. Zivilkammer Die Vorsitzende: Der Gerichtsschreiber: lic. iur. E. Lichti Aschwanden Dr. M. Tanner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