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NP210026 vom 26. Mai 2021</w:t>
      </w:r>
    </w:p>
    <w:p>
      <w:r>
        <w:t>ZH Obergericht, 2021-05-26, DE</w:t>
      </w:r>
    </w:p>
    <w:p>
      <w:r>
        <w:rPr>
          <w:b/>
        </w:rPr>
        <w:t xml:space="preserve">Quelle: </w:t>
      </w:r>
      <w:r>
        <w:t>https://mcp.opencaselaw.ch/entscheid/zh_obergericht_NP210026</w:t>
      </w:r>
    </w:p>
    <w:p>
      <w:r>
        <w:t>FR: ZH_OBERGERICHT NP210026 du 26 mai 2021</w:t>
      </w:r>
    </w:p>
    <w:p>
      <w:r>
        <w:t>IT: ZH_OBERGERICHT NP210026 del 26 maggio 2021</w:t>
      </w:r>
    </w:p>
    <w:p>
      <w:pPr>
        <w:pStyle w:val="Heading2"/>
      </w:pPr>
      <w:r>
        <w:t>Erwägungen</w:t>
      </w:r>
    </w:p>
    <w:p>
      <w:r>
        <w:rPr>
          <w:b/>
        </w:rPr>
        <w:t>E. 2</w:t>
      </w:r>
    </w:p>
    <w:p>
      <w:r>
        <w:t>Die Vorinstanz erwog, der mit Verfügung vom 27. Oktober 2020 (Urk. 6) ein- verlangte Kostenvorschuss sei innert angesetzter Frist nicht eingegangen. Da- raufhin habe sie dem Kläger unter Hinweis auf die Möglichkeit, ein Gesuch um unentgeltliche Rechtspflege stellen zu können, mit Verfügung vom 16. März 2021 eine letzte Frist von zehn Tagen zur Leistung des Kostenvorschusses angesetzt, mit der Androhung, dass bei Säumnis auf die Klage nicht eingetreten würde (Urk. 9). Diese Verfügung sei dem Kläger am 22. März 2021 zur Abholung gemel- det, jedoch innert der Abholfrist nicht abgeholt worden (Urk. 10 und 11), weshalb sie ihm gemäss Art. 138 Abs. 3 lit. a ZPO als am letzten Tag der siebentägigen Abholfrist, mithin am 29. März 2021, zugestellt gelte. Der Kläger habe den Kos- tenvorschuss auch innert der angesetzten Nachfrist nicht geleistet, weshalb an- drohungsgemäss gestützt auf Art. 101 Abs. 3 ZPO auf die Klage nicht einzutreten sei (Urk. 15 S. 2).</w:t>
      </w:r>
    </w:p>
    <w:p>
      <w:r>
        <w:t>- 3 - 3.1. Mit der Berufung können unrichtige Rechtsanwendung und unrichtige Fest- stellung des Sachverhalts geltend gemacht werden (Art. 310 ZPO). In der schrift- lichen Berufungsbegründung (Art. 311 ZPO) ist hinreichend genau aufzuzeigen, inwiefern der erstinstanzliche Entscheid in den angefochtenen Punkten als fehler- haft zu betrachten ist bzw. an einem der genannten Mängel leidet. Dazu hat sich der Berufungskläger inhaltlich mit den vorinstanzlichen Erwägungen auseinander- zusetzen und mittels genügend präziser Verweisungen auf die Akten aufzuzeigen, woraus sich der geltend gemachte Berufungsgrund ergeben soll. Pauschale Ver- weisungen auf frühere Rechtsschriften oder Vorbringen genügen hierfür nicht (vgl. BGE 141 III 569 E. 2.3.3 = Pra 105 [2016] Nr. 99; BGE 138 III 374 E. 4.3.1; BGer 5A_164/2019 vom 20. Mai 2020, E. 5.2.3). 3.2. Diesen Anforderungen genügt die Berufungsschrift des Klägers nicht. Er wiederholt darin bloss wortwörtlich seine Ausführungen vor Vorinstanz (vgl. Urk. 5 und Urk. 14). Mit den Erwägungen der Vorinstanz setzt der Kläger sich hingegen nicht auseinander. Insbesondere zeigt er nicht auf, dass die Vorinstanz bezüglich des einverlangten Kostenvorschusses den Sachverhalt unrichtig festgestellt oder das Recht unrichtig angewandt hätte, indem sie wegen der unterbliebenen Leis- tung des einverlangten Kostenvorschusses und somit Fehlens einer Prozessvor- aussetzung (Art. 59 Abs. 2 lit. f ZPO) auf die Klage nicht eintrat. Nach dem Ge- sagten ist auf die Berufung nicht einzutreten. 4.1. Der Streitwert beträgt Fr. 16'500.– (Urk. 1 S. 2 und Urk. 5 S. 1). Die Ge- richtsgebühr für das Berufungsverfahren ist in Anwendung von § 4 Abs. 1 und 2 in Verbindung mit § 10 Abs. 1 und § 12 Abs. 1 und 2 GebV OG auf Fr. 600.– festzu- setzen und ausgangsgemäss dem Kläger aufzuerlegen (Art. 106 Abs. 1 ZPO). 4.2. Für das Berufungsverfahren sind keine Parteientschädigungen zuzuspre- chen, dem Kläger zufolge seines Unterliegens (Art. 106 Abs. 1 ZPO), der Beklag- ten mangels relevanter Umtriebe (Art. 95 Abs. 3 ZPO).</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