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NP210012 vom 2. Juni 2021</w:t>
      </w:r>
    </w:p>
    <w:p>
      <w:r>
        <w:t>ZH Obergericht, 2021-06-02, DE</w:t>
      </w:r>
    </w:p>
    <w:p>
      <w:r>
        <w:rPr>
          <w:b/>
        </w:rPr>
        <w:t xml:space="preserve">Quelle: </w:t>
      </w:r>
      <w:r>
        <w:t>https://mcp.opencaselaw.ch/entscheid/zh_obergericht_NP210012</w:t>
      </w:r>
    </w:p>
    <w:p>
      <w:r>
        <w:t>FR: ZH_OBERGERICHT NP210012 du 2 juin 2021</w:t>
      </w:r>
    </w:p>
    <w:p>
      <w:r>
        <w:t>IT: ZH_OBERGERICHT NP210012 del 2 giugno 2021</w:t>
      </w:r>
    </w:p>
    <w:p>
      <w:pPr>
        <w:pStyle w:val="Heading2"/>
      </w:pPr>
      <w:r>
        <w:t>Erwägungen</w:t>
      </w:r>
    </w:p>
    <w:p>
      <w:r>
        <w:rPr>
          <w:b/>
        </w:rPr>
        <w:t>E. 1</w:t>
      </w:r>
    </w:p>
    <w:p>
      <w:r>
        <w:t>Mit Klagebewilligung vom 12. August 2020 des Friedensrichteramts C._____ gelangte die Klägerin am 20. November 2020 (Datum des Poststempels) an das Bezirksgericht Zürich und machte eine unbegründete Klage mit folgenden Rechtsbegehren anhängig (Urk. 1 und Urk. 2): "1. Es sei die Widerrechtlichkeit der wiederholten und andauernden Verletzungen der Persönlichkeit der klagenden Partei durch die beklagte Partei festzustellen, indem diese: - die Klägerin wiederholt beschimpft und beleidigt - üble Nachrede über die Klägerin verbreitet - die Klägerin wiederholt verleumdet - die Klägerin wiederholt mit Gewalt bedroht</w:t>
      </w:r>
    </w:p>
    <w:p>
      <w:r>
        <w:rPr>
          <w:b/>
        </w:rPr>
        <w:t>E. 2</w:t>
      </w:r>
    </w:p>
    <w:p>
      <w:r>
        <w:t>Die beklagte Partei sei zu verpflichten, für mindestens 3 Jahre mindes- tens 50m Abstand zu der klagenden Partei zu halten.</w:t>
      </w:r>
    </w:p>
    <w:p>
      <w:r>
        <w:rPr>
          <w:b/>
        </w:rPr>
        <w:t>E. 2.1</w:t>
      </w:r>
    </w:p>
    <w:p>
      <w:r>
        <w:t>Die Klägerin macht zunächst geltend, das Friedensrichteramt hätte sie als Laiin nach gesundem Menschenverstand darauf aufmerksam machen müssen, dass sie die Klage nicht richtig eingereicht habe, und ferner, dass es sinnvoll wä- re, das Friedensrichteramt aufzufordern, die Schlichtungsverhandlung zu wieder- holen, damit solche Fehler nicht mehr passierten (Urk. 8 S. 2 Rz. 1-4). Diese Aus- führungen gehen insofern an der Sache vorbei, als die Klägerin damit nicht konk- ret den vorinstanzlichen Entscheid beanstandet und auch nicht darlegt, inwiefern die Berücksichtigung dieser Vorbringen sich auf den Ausgang des Verfahrens ausgewirkt hätte. Auf diese Vorbringen ist demnach nicht näher einzugehen (vgl. vorstehend E. II.1).</w:t>
      </w:r>
    </w:p>
    <w:p>
      <w:r>
        <w:rPr>
          <w:b/>
        </w:rPr>
        <w:t>E. 2.2</w:t>
      </w:r>
    </w:p>
    <w:p>
      <w:r>
        <w:t>Soweit die Klägerin die Schlichtungsverhandlung als nichtig erklärt haben will und deren Aufhebung und neuerliche Vorladung verlangt, ist ihr ebenfalls nicht zu folgen. Es trifft zwar zu, dass das Friedensrichteramt C._____ die Klage- bewilligung vom 12. August 2020 an das Einzelgericht des Bezirksgerichts Zürich ausstellte ("Klagebewilligung an das Bezirksgericht Zürich, (Einzelgericht), Post- fach, 8036 Zürich", Urk. 1 S. 1) und sich diese Angabe (jedenfalls mit Blick auf die Persönlichkeitsverletzungsklage gemäss Rechtsbegehren Ziffer 1) als falsch er- wiesen hat (vgl. hinten E. III.2.3.2). Indes gehört die Nennung des Gerichts, bei welchem die Klage einzureichen ist, nicht zum notwendigen Inhalt der Klagebewil-</w:t>
      </w:r>
    </w:p>
    <w:p>
      <w:r>
        <w:t>- 7 - ligung (vgl. Art. 209 ZPO) und es ist letztlich Sache der klagenden Partei, die Kla- ge bei dem als zuständig erachteten Gericht einzureichen. Diese überobligatori- sche Angabe führt demnach nicht zur Ungültigkeit (Klägerin: Nichtigkeit) der Kla- gebewilligung. Nachdem die Klägerin auch keine anderweitigen Mängel bei der Durchführung der Schlichtungsverhandlung geltend macht, besteht ebenso wenig Anlass, das Friedensrichteramt C._____ anzuweisen, von Amtes wegen zu einer Schlichtungsverhandlung vorzuladen. Das Schlichtungsverfahren wurde ord- nungsgemäss durchgeführt (vgl. Urk. 1 S. 2) und mit Ausstellung der Klagebewil- ligung ordentlich abgeschlossen. 2.3.1. Am vorinstanzlichen Entscheid konkret rügt die Klägerin einzig, aus ihren Rechtsbegehren gehe hervor, dass sie den Beklagten auf einen Betrag von Fr. 1'000.– betrieben habe (Betreibungs-Nr. 1), was offensichtlich einen Scha- denersatz- bzw. Genugtuungsanspruch darstelle. Sofern dies der Vorinstanz nicht klar gewesen sei, hätte sie eine gerichtliche Fragepflicht getroffen. Wenn die Vo- rinstanz sie aufgefordert hätte, den Forderungsgrund für den in Betreibung ge- setzten Betrag zu nennen, hätte sie mit dem Zirkulationsbeschluss vom 20. April 2020 (Geschäfts-Nr. CB200009) eindeutig aufzeigen können, dass sie Schaden- ersatz- bzw. Genugtuungsansprüche geltend mache (Urk. 8 S. 2 Rz. 5 und 6). 2.3.2. Vorliegend beantragte die Klägerin mit Rechtsbegehren Nr. 5 und 7, der Beklagte sei zur Leistung eines Betrags von Fr. 1'000.– (betreffend Betreibung Nr. 1) bzw. Fr. 100.– (betreffend Betreibung Nr. 2) zu verpflichten. Der Klägerin ist insofern Recht zu geben, als sich die Vorinstanz nicht damit hätte begnügen dür- fen, in diesen Rechtsbegehren "soweit ersichtlich" keine Schadenersatz- bzw. Genugtuungsansprüche zu erkennen, sondern der Klägerin (als Laiin) gestützt auf Art. 56 ZPO Frist zur Klarstellung hätte ansetzen müssen. Der im Berufungsver- fahren neu eingereichte Zirkulationsbeschluss vom 20. April 2020 (Geschäfts- Nr. CB200009 [Urk. 10/3]) weist jedenfalls mit Blick auf Rechtsbegehren Nr. 5 da- rauf hin, dass es sich dabei tatsächlich – wie von der Klägerin vorgebracht – um ein Schadenersatz- bzw. Genugtuungsbegehren handeln könnte. Dies ändert in- des im Ergebnis nichts, zumal selbst bei Vorliegen eines Schadenersatz- oder Genugtuungsbegehrens dem Feststellungsbegehren (Rechtsbegehren Nr. 1) der</w:t>
      </w:r>
    </w:p>
    <w:p>
      <w:r>
        <w:t>- 8 - selbständige Charakter nicht abgesprochen werden kann: Nach Art. 28a Abs. 1 Ziff. 3 ZGB besteht ein Anspruch auf Feststellung der Widerrechtlichkeit einer Persönlichkeitsverletzung, wenn sich die Verletzung weiterhin störend auswirkt. Entsprechend kommt gemäss bundesgerichtlicher Rechtsprechung einem Fest- stellungsbegehren dann keine selbständige Bedeutung zu, wenn es sich bei der eingeklagten Verletzung um eine in der Vergangenheit liegende, abgeschlossene Störung handelt, deren Folgen nicht auf dem Wege der Naturalrestitution beseitigt werden können, sondern nur durch die Leistung von Schadenersatz und Genug- tuung (BGE 40 II 163, E. 1; BGE 67 II 42, S. 44). Vorliegend verlangt die Klägerin mit Rechtsbegehren Ziffer 1 die Feststellung der Widerrechtlichkeit der wiederhol- ten und andauernden Verletzung ihrer Persönlichkeit. Aus diesem Rechtsbegeh- ren geht insofern klar und unmissverständlich hervor, dass nicht (nur) eine abge- schlossene Störung eingeklagt wird. Vor diesem Hintergrund ist die vor- instanzliche Feststellung, wonach Rechtsbegehren betreffend Persönlichkeitsver- letzung trotz allfälliger damit im Zusammenhang stehender Leistungsbegehren als nicht vermögensrechtlich zu qualifizieren sind, nicht zu beanstanden. Damit steht fest, dass das Einzelgericht zur Beurteilung der Persönlichkeitsverletzungsklage gemäss Rechtsbegehren Ziffer 1 sachlich nicht zuständig ist (Art. 243 ZPO e contrario in Verbindung mit § 19 sowie § 24 GOG). Weitergehende Beanstandun- gen am angefochtenen Entscheid lassen sich der Berufungsschrift keine entneh- men.</w:t>
      </w:r>
    </w:p>
    <w:p>
      <w:r>
        <w:rPr>
          <w:b/>
        </w:rPr>
        <w:t>E. 2.4</w:t>
      </w:r>
    </w:p>
    <w:p>
      <w:r>
        <w:t>Soweit die Klägerin überdies pauschal und ohne auf die vorinstanzlichen Erwägungen einzugehen die Weiterleitung bzw. Überweisung der Klage an das Kollegialgericht beantragt (Urk. 8 S. 1 und S. 2 Rz. 7), genügt sie der Begrün- dungspflicht nicht (vgl. vorstehend E. II.1), weshalb darauf nicht weiter einzuge- hen ist.</w:t>
      </w:r>
    </w:p>
    <w:p>
      <w:r>
        <w:rPr>
          <w:b/>
        </w:rPr>
        <w:t>E. 2.5</w:t>
      </w:r>
    </w:p>
    <w:p>
      <w:r>
        <w:t>Zusammenfassend dringt die Klägerin mit ihren Rügen nicht durch, womit es beim vorinstanzlichen Nichteintretensentscheid bleibt. Entsprechend ist die Dis- positivziffer 1 der vorinstanzlichen Verfügung vom 4. Dezember 2020 zu bestäti- gen und die Berufung insoweit abzuweisen.</w:t>
      </w:r>
    </w:p>
    <w:p>
      <w:r>
        <w:t>- 9 - 3. Vor dem Hintergrund, dass die Klägerin als juristische Laiin auf die – jeden- falls mit Blick auf die Persönlichkeitsverletzungsklage gemäss Rechtsbegehren Ziffer 1 – unzutreffende und insbesondere auch unnötige (vgl. Art. 209 ZPO) An- gabe des Friedensrichteramtes vertraute, erscheint es indes gerechtfertigt, die Gerichtskosten des vorinstanzlichen Verfahrens auf die Staatskasse zu nehmen (vgl. Art. 107 Abs. 1 lit. b und f sowie Art. 107 Abs. 2 ZPO). IV. 1. Die Entscheidgebühr für das Berufungsverfahren ist in Anwendung von § 12 Abs. 1 und 2 in Verbindung mit § 5 Abs. 1 GebV OG auf Fr. 800.– festzusetzen. 2. Da die Klägerin lediglich in einem Nebenpunkt (erstinstanzliche Gerichtskos- ten) obsiegt, in der Hauptsache (Nichteintreten) jedoch unterliegt, rechtfertigt es sich, ihr die Gerichtskosten im Umfang von 3/4 aufzuerlegen und 1/4 auf die Staatskasse zu nehmen (Art. 106 Abs. 1 ZPO). 3. Für das Berufungsverfahren sind beiden Parteien mangels relevanter Um- triebe keine Parteientschädigungen zuzusprechen (Art. 95 Abs. 3, Art. 106 Abs. 1 ZPO). Es wird beschlossen:</w:t>
      </w:r>
    </w:p>
    <w:p>
      <w:r>
        <w:rPr>
          <w:b/>
        </w:rPr>
        <w:t>E. 3</w:t>
      </w:r>
    </w:p>
    <w:p>
      <w:r>
        <w:t>Die beklagte Partei sei zu verpflichten, im Haus weder Drogen zu kon- sumieren noch sie anzupflanzen.</w:t>
      </w:r>
    </w:p>
    <w:p>
      <w:r>
        <w:rPr>
          <w:b/>
        </w:rPr>
        <w:t>E. 4</w:t>
      </w:r>
    </w:p>
    <w:p>
      <w:r>
        <w:t>Die beklagte Partei sei zu verpflichten im Haus keine Sexorgien mit Drogen und fremden, verheirateten Männer zu organisieren.</w:t>
      </w:r>
    </w:p>
    <w:p>
      <w:r>
        <w:rPr>
          <w:b/>
        </w:rPr>
        <w:t>E. 5</w:t>
      </w:r>
    </w:p>
    <w:p>
      <w:r>
        <w:t>Die beklagte Partei sei zu verpflichten, der klagenden Partei laut Be- treibung Nr. 1 CHF 1'000.00 nebst 5% Zins seit 1. November 2019 zu bezahlen.</w:t>
      </w:r>
    </w:p>
    <w:p>
      <w:r>
        <w:rPr>
          <w:b/>
        </w:rPr>
        <w:t>E. 6</w:t>
      </w:r>
    </w:p>
    <w:p>
      <w:r>
        <w:t>Es sei der Rechtsvorschlag in der Betreibung Nr. 1 aufzuheben.</w:t>
      </w:r>
    </w:p>
    <w:p>
      <w:r>
        <w:rPr>
          <w:b/>
        </w:rPr>
        <w:t>E. 7</w:t>
      </w:r>
    </w:p>
    <w:p>
      <w:r>
        <w:t>Die beklagte Partei sei zu verpflichten, der klagenden Partei laut Be- treibung Nr. 2 CHF 100.00 nebst 5% Zins seit 25. Januar 2019 zu be- zahlen.</w:t>
      </w:r>
    </w:p>
    <w:p>
      <w:r>
        <w:rPr>
          <w:b/>
        </w:rPr>
        <w:t>E. 8</w:t>
      </w:r>
    </w:p>
    <w:p>
      <w:r>
        <w:t>Es sei der Rechtsvorschlag in der Betreibung Nr. 2 aufzuheben.</w:t>
      </w:r>
    </w:p>
    <w:p>
      <w:r>
        <w:rPr>
          <w:b/>
        </w:rPr>
        <w:t>E. 9</w:t>
      </w:r>
    </w:p>
    <w:p>
      <w:r>
        <w:t>Die beklagte Partei sei zu verpflichten, den Besucherparkplatz für ihre Besucher nicht mehr tagelang bzw. wochenlang zu missbrauchen.</w:t>
      </w:r>
    </w:p>
    <w:p>
      <w:r>
        <w:rPr>
          <w:b/>
        </w:rPr>
        <w:t>E. 10</w:t>
      </w:r>
    </w:p>
    <w:p>
      <w:r>
        <w:t>Die beklagte Partei sei zu verpflichten, die klagende Partei während der Ruhestunden (nach 22 Uhr und an Sonn- und Feiertagen) nicht mit Lärm zu belästigen.</w:t>
      </w:r>
    </w:p>
    <w:p>
      <w:r>
        <w:rPr>
          <w:b/>
        </w:rPr>
        <w:t>E. 11</w:t>
      </w:r>
    </w:p>
    <w:p>
      <w:r>
        <w:t>Die beklagte Partei sei zu verpflichten, sicherzustellen, dass es nicht mehr von der Loggia im 4. OG auf die Loggia im 2. OG tropft und er- neut Schäden verursacht.</w:t>
      </w:r>
    </w:p>
    <w:p>
      <w:r>
        <w:t>- 3 -</w:t>
      </w:r>
    </w:p>
    <w:p>
      <w:r>
        <w:rPr>
          <w:b/>
        </w:rPr>
        <w:t>E. 12</w:t>
      </w:r>
    </w:p>
    <w:p>
      <w:r>
        <w:t>Das Nachklagerecht bleibt ausdrücklich vorbehalten.</w:t>
      </w:r>
    </w:p>
    <w:p>
      <w:r>
        <w:rPr>
          <w:b/>
        </w:rPr>
        <w:t>E. 13</w:t>
      </w:r>
    </w:p>
    <w:p>
      <w:r>
        <w:t>Unter Kosten- und Entschädigungsfolgen zulasten der klagenden Par- tei." 2. Die Klage wurde gerichtsintern dem Einzelgericht zur Behandlung zugewie- sen (Urk. 3/1-2). Mangels sachlicher Zuständigkeit trat die Vorinstanz (das Ein- zelgericht) am 4. Dezember 2020 unter Kostenfolge zulasten der Klägerin auf die Klage nicht ein (Urk. 4 = Urk. 9). 3. Hiergegen erhob die Klägerin mit Eingabe vom 31. Januar 2021, tags darauf zur Post gegeben, rechtzeitig (vgl. Urk. 5) Berufung mit den folgenden (teilweise sinngemässen) Anträgen (Urk. 8 S. 1): 1. Aufschiebende Wirkung ist zu erteilen. 2. Die Verfügung vom 4. Dezember 2020 in Bezug auf FV200196 ist für nichtig zu erklären und aufzuheben. 3. Das Bezirksgericht ist aufzufordern bzw. anzuweisen, auf die Per- sönlichkeitsverletzungsklage einzutreten. 4. Das Einzelgericht ist aufzufordern bzw. anzuweisen, die Klage be- treffend die vermögensrechtlichen Streitigkeiten dem Kollegialge- richt zu überweisen. 5. Die Gerichtsgebühren von CHF 600.– sind für nichtig zu erklären und aufzuheben. Eventuell: 6. Die Akten des Friedensrichteramts C._____ sind beizuziehen. 7. Die Schlichtungsverhandlung ist für nichtig zu erklären und aufzu- heben. 8. Das Friedensrichteramt C._____ ist aufzufordern, erneut für die Schlichtungsverhandlung vorzuladen. 4. Auf das Begehren um Erteilung der aufschiebenden Wirkung wurde mangels Rechtsschutzinteresses mit Verfügung vom 10. Februar 2021 nicht eingetreten (Urk. 11). Der mit derselben Verfügung einverlangte Kostenvorschuss von Fr. 800.– wurde innert mit Verfügung vom 5. März 2021 gewährter Nachfrist ge- leistet (vgl. Urk. 11-15). Die vorinstanzlichen Akten wurden beigezogen (Urk. 1-7). Auf das Einholen einer Berufungsantwort ist zu verzichten (vgl. Art. 322 Abs. 1 ZPO).</w:t>
      </w:r>
    </w:p>
    <w:p>
      <w:r>
        <w:t>- 4 - II. 1. Mit der Berufung können unrichtige Rechtsanwendung und unrichtige Fest- stellung des Sachverhalts geltend gemacht werden (Art. 310 ZPO). Die Beru- fungsinstanz verfügt über eine vollständige Überprüfungsbefugnis der Streitsache, mithin über unbeschränkte Kognition bezüglich Tat- und Rechtsfragen, ein- schliesslich der Frage richtiger Ermessensausübung (Angemessenheitsprüfung; BGer 5A_184/2013 vom 26. April 2013, E. 3.1). In der schriftlichen Berufungsbe- gründung (Art. 311 Abs. 1 ZPO) ist hinreichend genau aufzuzeigen, inwiefern der erstinstanzliche Entscheid in den angefochtenen Punkten als fehlerhaft zu be- trachten ist bzw. an einem der genannten Fehler leidet. Dies setzt eine sachbezo- gene, mit Hinweisen auf konkrete Aktenstellen untermauerte inhaltliche Ausei- nandersetzung mit den Erwägungen des angefochtenen Entscheids voraus. Es genügt nicht, den angefochtenen Entscheid oder das Verfahren in allgemeiner Weise zu kritisieren (BGE 142 I 93 E. 8.2; BGE 138 III 374 E. 4.3.1). Was in der Berufung nicht oder nicht in einer den gesetzlichen Begründungsanforderungen genügenden Weise beanstandet wird, braucht von der Rechtsmittelinstanz nicht überprüft zu werden. Letztere ist trotz umfassender Überprüfungsbefugnis nicht gehalten, von sich aus wie eine erstinstanzliche Gerichtsbehörde alle sich stellen- den tatsächlichen und rechtlichen Fragen zu untersuchen. Sie hat sich – abgese- hen von offensichtlichen Mängeln – grundsätzlich auf die Beurteilung der in der schriftlichen Begründung (Art. 311 Abs. 1 und Art. 312 Abs. 1 ZPO) gegen den erstinstanzlichen Entscheid erhobenen Beanstandungen zu beschränken (BGE 142 III 413 E. 2.2.4 m.w.H.). Insofern erfährt der Grundsatz der Rechtsanwen- dung von Amtes wegen (Art. 57 ZPO) im Berufungsverfahren eine Relativierung (BK ZPO I-Hurni, Art. 57 N 21 und N 39 ff.). In diesem Rahmen ist insoweit auf die Parteivorbringen einzugehen, als dies für die Entscheidfindung erforderlich ist (vgl. BGE 134 I 83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