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NP200028 vom 15. Januar 2021</w:t>
      </w:r>
    </w:p>
    <w:p>
      <w:r>
        <w:t>ZH Obergericht, 2021-01-15, DE</w:t>
      </w:r>
    </w:p>
    <w:p>
      <w:r>
        <w:rPr>
          <w:b/>
        </w:rPr>
        <w:t xml:space="preserve">Quelle: </w:t>
      </w:r>
      <w:r>
        <w:t>https://mcp.opencaselaw.ch/entscheid/zh_obergericht_NP200028</w:t>
      </w:r>
    </w:p>
    <w:p>
      <w:r>
        <w:t>FR: ZH_OBERGERICHT NP200028 du 15 janvier 2021</w:t>
      </w:r>
    </w:p>
    <w:p>
      <w:r>
        <w:t>IT: ZH_OBERGERICHT NP200028 del 15 gennaio 2021</w:t>
      </w:r>
    </w:p>
    <w:p>
      <w:pPr>
        <w:pStyle w:val="Heading2"/>
      </w:pPr>
      <w:r>
        <w:t>Erwägungen</w:t>
      </w:r>
    </w:p>
    <w:p>
      <w:r>
        <w:rPr>
          <w:b/>
        </w:rPr>
        <w:t>E. 1</w:t>
      </w:r>
    </w:p>
    <w:p>
      <w:r>
        <w:t>Die Klägerin und Berufungsbeklagte (nachfolgend Klägerin) ist ein auf Erbringung von Dienstleistungen im Zusammenhang mit dem Verkauf und dem Verlegen von Bodenbelägen jeglicher Art spezialisiertes Unternehmen. Der Beklagte und Berufungskläger (nachfolgend Beklagter) hatte ein Restaurant übernommen und von der Klägerin im Restaurant einen Boden auffrischen resp. neuverlegen lassen. Die Vorinstanz hiess die Klage der Klägerin gegen den Beklagten auf Zusprechung von Fr. 29'589.50 ausstehendem Werklohn vollumfänglich gut, nachdem sich der säumige Beklagte im vorinstanzlichen Verfahren nicht hatte vernehmen lassen. Dagegen richtet sich die vorliegende Berufung.</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w:t>
      </w:r>
    </w:p>
    <w:p>
      <w:r>
        <w:t>- 5 -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Vorgetragenen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Prüfprogramm vor, mit welchem sich die Berufungsinstanz zu befassen hat. Innerhalb dieser Beanstandungen ist sie indes weder an die Begründung des Berufungsklägers noch an jene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 Berufungskläger zwar darlegen, dass und inwiefern die Vorinstanz das Recht aus seiner Sicht unrichtig angewendet hat, zutreffen muss diese Begründung – um eine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unrichtige</w:t>
      </w:r>
    </w:p>
    <w:p>
      <w:r>
        <w:t>- 6 - Rechtsanwendung geltend gemacht wird (vgl. etwa OGer ZH LB140047 vom</w:t>
      </w:r>
    </w:p>
    <w:p>
      <w:r>
        <w:rPr>
          <w:b/>
        </w:rPr>
        <w:t>E. 2.1</w:t>
      </w:r>
    </w:p>
    <w:p>
      <w:r>
        <w:t>Der Beklagte bringt in seiner Berufung vorab vor, die Vorinstanz habe in ihrer Vorladung zur Hauptverhandlung zwar auf die Säumnisfolgen hingewiesen, welche ein unentschuldigtes Ausbleiben einer (oder beider) Parteien mit sich bringen würde, doch sei der praktisch wörtlich wiedergegebene Art. 234 ZPO (Säumnis an der Hauptverhandlung) weder definiert noch "ausgedeutscht" worden. Damit sei nicht genügend auf die Säumnisfolgen hingewiesen worden, weshalb die Vorladung nichtig sei (act. 43 Rz 17 ff.). Diese Rüge geht fehl. Richtig ist zwar, dass amtliche und damit auch gerichtliche Dokumente oder auch Erlasse mitunter für Laien schwierig verständlich sind. Doch kann aus dem Umstand, dass ein Wort gemäss Duden der Häufigkeitsklasse "niedrig" und im Übrigen einem gehobenen Sprachgebrauch zuzuordnen ist, nicht geschlossen werden, das Dokument oder der Erlass verstosse gegen das Prinzip der grundlegenden Verfahrensfairness (so act. 43 Rz 19 ff.). Vielmehr wäre es gegebenenfalls am Beklagten gewesen, z.B. mittels Eingabe des Wortes "Säumnis" bei einer Internet-Suchmaschine oder auch mittels Anruf beim Gericht die Wortbedeutung von "Säumnis" zu klären, so ihm diese unbekannt gewesen sein sollte. Entgegen der unzutreffenden Ansicht des Beklagten (act. 43 Rz 18, Rz 30) ist zudem betreffend die Säumnis an der Hauptverhandlung der Hinweis auf Art. 234 ZPO ausreichend, und es muss nicht noch zusätzlich auf Art. 147 ZPO hingewiesen werden, wird doch diese Bestimmung im allgemeinen Teil der Zivilprozessordnung durch Art. 234 ZPO im besonderen Teil konkretisiert. Auch die Platzierung des Hinweises auf der Vorladung (vor den "wichtigen Hinweisen", die der Vorladung folgen) ist entgegen dem Beklagten (act. 43 Rz 23 f.) in keiner Weise zu bemängeln. Entgegen dem Vortrag in der Berufungsschrift wurde in der Vorladung damit durchaus und in</w:t>
      </w:r>
    </w:p>
    <w:p>
      <w:r>
        <w:t>- 8 - genügender Weise auf die Säumnisfolgen bei Ausbleiben an der Hauptverhandlung hingewiesen.</w:t>
      </w:r>
    </w:p>
    <w:p>
      <w:r>
        <w:rPr>
          <w:b/>
        </w:rPr>
        <w:t>E. 2.2</w:t>
      </w:r>
    </w:p>
    <w:p>
      <w:r>
        <w:t>Sodann bringt der Beklagte vor, im vorliegend anwendbaren vereinfachten Verfahren könne bei Säumnis an der Hauptverhandlung die Säumnisfolge von Art. 234 ZPO nicht greifen, da diese im ordentlichen Verfahren auch erst einsetze, nachdem die beklagte Partei ihre Klageantwort erstattet habe, sich also bereits habe äussern können. Er macht im Weiteren geltend, die beklagte Partei, welche die Klageantwort (vorerst) versäume, erhalte zwingend eine kurze Nachfrist (Art. 223 Abs. 1 ZPO) und kommt zum Schluss, dass erneut zu einer Verhandlung vorzuladen gewesen wäre, nachdem er erstmals bei der Hauptverhandlung säumig gewesen sei (act. 43 Rz 34-52). Das Gesetz sagt nicht ausdrücklich, wie vorzugehen ist, wenn die beklagte Partei im vereinfachten Verfahren nicht zur Verhandlung erscheint, wobei immerhin Art. 219 ZPO zu beachten ist, laut dem die Bestimmungen zum ordentlichen Verfahren sinngemäss für sämtliche andere Verfahren gelten, soweit das Gesetz nichts anderes bestimmt. Das Bundesgericht hat sich in seinem Entscheid 4A_85/2020 vom 20. Mai 2020 ausführlich mit dieser Frage beschäftigt und den Entscheid unter BGE 146 III 297 publiziert mit folgender Regeste: "Art. 147, Art. 223 Abs. 1, Art. 234 Abs. 1 und Art. 245 Abs. 1 ZPO; Säumnis im vereinfachten Verfahren: Bleibt die beklagte Partei im vereinfachten Verfahren der Verhandlung nach Art. 245 Abs. 1 ZPO unentschuldigt fern, hat das Gericht die Verhandlung in Abwesenheit der säumigen Partei durchzuführen und nicht in analoger Anwendung von Art. 223 Abs. 1 ZPO zu einem neuen Gerichtstermin vorzuladen (E. 2)." Es hat dabei ausdrücklich festgehalten, auch von einer rechtsunkundigen und nicht anwaltlich vertretenen Partei könne ohne Weiteres erwartet werden, dass sie der Vorladung zu einem Gerichtstermin Folge leiste, jedenfalls wenn – wie vorliegend – ihr die Verhandlung rechtzeitig (Art. 134 ZPO) und in vorgeschriebener Form (Art. 138 ZPO) zugestellt und sie auf die Säumnisfolgen hingewiesen worden ist (vgl. oben, Ziff. 2.1; BGE 146 III 297 E. 2.5.). In der E. 2.6. verwirft das Bundesgericht sodann die vom Beklagten vertretene Auffassung, aus Art. 223 Abs. 1 ZPO sei abzuleiten, dass im</w:t>
      </w:r>
    </w:p>
    <w:p>
      <w:r>
        <w:t>- 9 - vereinfachten Verfahren der an der Hauptverhandlung Säumige seine Säumnis ohne Rechtsnachteile müsse beheben können. Zu Recht verweist das Bundesgericht im Weiteren darauf, der Gesetzgeber habe mit dem vereinfachten Verfahren auch einen gegenüber dem ordentlichen Verfahren beschleunigten Rechtsweg schaffen wollen (E. 2.4.) und gibt schliesslich zu bedenken, dass dem vereinfachten Verfahren bereits eine Schlichtungsverhandlung vorausgeht, zu welcher die Parteien bereits persönlich erscheinen mussten, weshalb die Rücksichtnahme auf eine rechtsunkundige Partei – wie hinzuzufügen wäre: jedenfalls wenn diese vor Friedensrichter nicht säumig war – nicht verlange, dass im Falle der Säumnis erneut zur Verhandlung vorgeladen werde (a.a.O., E. 2.5.). Den ausführlichen gegenteiligen Ausführungen des Beklagten in der Berufungsbegründung (act. 43 Rz 34-56) ist damit der Boden entzogen.</w:t>
      </w:r>
    </w:p>
    <w:p>
      <w:r>
        <w:rPr>
          <w:b/>
        </w:rPr>
        <w:t>E. 2.3</w:t>
      </w:r>
    </w:p>
    <w:p>
      <w:r>
        <w:t>Der Beklagte ist sodann der Ansicht, die Vorinstanz hätte so oder anders bei seinem Fernbleiben die klägerische Sachdarstellung nicht als unbestritten geblieben dem Urteil zu Grunde legen dürfen, sondern wäre verpflichtet gewesen, auch über formell Unbestrittenes Beweis zu führen, da die Vorinstanz (seiner Ansicht nach) an den Angaben der anwesenden Partei ernstlich hätte zweifeln müssen (act. 43 Rz 60 f.). Gegenstand des Beweises sind rechtserhebliche, streitige Tatsachen, und jede Partei hat das Recht, dass das Gericht die von ihr form- und fristgerecht angebotenen Beweismittel abnimmt (Art. 150 Abs. 1 ZPO, Art. 152 Abs. 1 ZPO). Das Zivilgericht erhebt also im Regelfall nicht von sich aus Beweise. Wenn hingegen der Sachverhalt von Amtes wegen festzustellen ist, erhebt das Gericht von Amtes wegen Beweis (Art. 153 Abs. 1 ZPO; Offizialmaxime), es ist also weder daran gebunden, dass die entsprechende Tatsache streitig war, noch, dass die beweisbelastete Partei form- und fristgerecht die entsprechenden Beweismittel angeboten hat. Allein, ein solcher Fall liegt hier nicht vor, und das behauptet denn auch der Beklagte zu Recht nicht. Darüber hinaus kann das Gericht von Amtes wegen Beweis erheben, wenn an der Richtigkeit einer nicht streitigen Tatsache erhebliche Zweifel bestehen (Art. 153 Abs. 2 ZPO). Diese Bestimmung geht insoweit weiter als zahlreiche Bestimmungen in den früheren</w:t>
      </w:r>
    </w:p>
    <w:p>
      <w:r>
        <w:t>- 10 - kantonalen Zivilprozessordnungen, als dort diese Möglichkeit oft nur für das Säumnisverfahren vorgesehen war (so etwa in § 131 Abs. 1 ZPO ZH). Allerdings handelt es sich ausdrücklich – und das wird vom Beklagten offensichtlich übersehen – um eine Kann-Bestimmung: Entgegen den Ausführungen in der Berufung war die Vorinstanz damit bei Säumnis des Beklagten keineswegs verpflichtet, selbst über Unbestrittenes Beweis zu erheben. Überdies steht dem Gericht die Möglichkeit, von Amtes wegen Beweise zu erheben, ohnehin nicht schon dann offen, wenn eine Behauptung (etwa in einem Säumnisverfahren) unbestritten geblieben ist, vielmehr besteht diese Möglichkeit nur dann, wenn an der Richtigkeit einer nicht streitigen Tatsache erhebliche Zweifel bestehen. Und auch diesfallls läge bei Unterbleiben jeglicher beweismässiger Abklärung eine Rechtsverletzung nicht schon vor, wenn das Gericht trotz der erheblichen Zweifel in unangemessener Weise auf die beweismässige Abklärung der Tatsache verzichten würde, stellt doch die unrichtige Ausübung des Ermessens innerhalb des Ermessensspielraums keine Rechtsverletzung dar. Eine Rechtsverletzung könnte nur vorliegen bei einem Ermessensmissbrauch oder einer Ermessensüberschreitung resp. -unterschreitung. Da Art. 153 Abs. 2 ZPO den Ermessensspielraum des Gerichts nicht einschränkt und bei gerichtlichen Entscheiden, die ihrer Natur nach Einzelfallentscheide sind, ein a priori-Verzicht der entscheidenden Behörde, das Ermessen auszuüben (d.h. eine Ermessensunterschreitung) sich de facto kaum je wird erhärten lassen, ist die Norm von Art. 153 Abs. 2 ZPO de facto nicht geeignet, um daraus Rechte abzuleiten. Vorliegend legt denn auch der Beklagte nicht dar, inwiefern eine Ermessensunterschreitung vorliegen sollte, und solcherlei ist auch nicht ersichtlich. Auch diese Rüge geht daher fehl. Soweit der Beklagte in seiner Berufungsbegründung überdies ins Plädieren kommt (act. 43 Rz 79 ff.), so handelt es sich dabei um einen neuen Vortrag, der infolge Verspätung nicht beachtlich ist (Art. 317 Abs. 1 lit. b ZPO).</w:t>
      </w:r>
    </w:p>
    <w:p>
      <w:r>
        <w:rPr>
          <w:b/>
        </w:rPr>
        <w:t>E. 2.4</w:t>
      </w:r>
    </w:p>
    <w:p>
      <w:r>
        <w:t>Zutreffend ist demgegenüber die Rüge des Beklagten, die Vorinstanz habe ihr begründetes Urteil rechtsfehlerhaft nur dem Beklagten persönlich zugestellt, obwohl dieser im damaligen Zeitpunkt (unterdessen) nachweislich vertreten war, und dadurch Art. 137 ZPO verletzt (act. 43 Rz 4, Rz 103), ist doch dieser Vorwurf</w:t>
      </w:r>
    </w:p>
    <w:p>
      <w:r>
        <w:t>- 11 - durch die Akten belegt (act. 23 sowie act. 40/2). Allein darin liegt allerdings keineswegs ein schwerer formeller Mangel, der sich auf die Gültigkeit des angefochtenen Urteils auswirken könnte. 3. Zusammenfassend vermag der Beklagte mit seiner Berufung nicht durchzudringen. Sie ist deshalb vollumfänglich abzuweisen und das vorinstanzliche Urteil ist zu bestätigen.</w:t>
      </w:r>
    </w:p>
    <w:p>
      <w:r>
        <w:t>- 12 - IV. Kosten- und Entschädigungsfolgen 1. Die Prozesskosten sind dem Ausgang des Berufungsverfahrens entsprechend zu verlegen. Der Beklagte unterliegt mit der Berufung vollumfänglich. Das führt zur entsprechenden Kostenauflage (Art. 106 Abs. 1 ZPO). 2. Die bezirksgerichtliche Festsetzung von Gerichts- und Parteikosten im angefochtenen Urteil wurde im Berufungsverfahren nicht in Frage gestellt. Es ist deshalb das erstinstanzliche Kostendispositiv (Dispositivziffern 2-4) zu bestätigen. 3. Die Entscheidgebühr für das Berufungsverfahren ist – ausgehend vom Streitwert – gestützt auf § 12 Abs. 1-2 GebV OG in Verbindung mit § 4 Abs. 1 GebV OG auf Fr. 3'900.– festzusetzen. Parteientschädigungen sind für das Berufungsverfahren keine zuzusprechen: Dem Beklagten nicht, weil er unterliegt, der Klägerin nicht, weil ihr im Rechtsmittelverfahren keine zu entschädigenden Aufwendungen entstanden sind. Es wird erkannt: 1. Die Berufung wird abgewiesen. Das Urteil des Bezirksgerichtes Meilen vom 16. Dezember 2019 wird vollumfänglich bestätigt. 2. Die zweitinstanzliche Entscheidgebühr wird auf Fr. 3'900.– festgesetzt. 3. Die Gerichtskosten des zweitinstanzlichen Verfahrens werden dem Berufungskläger auferlegt und mit dem von ihm geleisteten Kostenvorschuss verrechnet. 4. Es werden keine Parteientschädigungen zugesprochen.</w:t>
      </w:r>
    </w:p>
    <w:p>
      <w:r>
        <w:rPr>
          <w:b/>
        </w:rPr>
        <w:t>E. 5</w:t>
      </w:r>
    </w:p>
    <w:p>
      <w:r>
        <w:t>Schriftliche Mitteilung an die Parteien, an die Berufungsbeklagte unter Beilage eines Doppels von act. 43, und an das Bezirksgericht Meilen, je gegen Empfangsschein, sowie an die Obergerichtskasse. Nach unbenutztem Ablauf der Rechtsmittelfrist gehen die erstinstanzlichen Akten an die Vorinstanz zurück.</w:t>
      </w:r>
    </w:p>
    <w:p>
      <w:r>
        <w:t>- 13 -</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29'589.50. Die Beschwerde an das Bundesgericht hat keine aufschiebende Wirkung.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